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18FAEAD9" w:rsidR="007A5B38" w:rsidRPr="000C5734" w:rsidRDefault="000C5734" w:rsidP="007A5B38">
      <w:pPr>
        <w:pStyle w:val="3GPPHeader"/>
        <w:rPr>
          <w:highlight w:val="yellow"/>
        </w:rPr>
      </w:pPr>
      <w:r w:rsidRPr="000C5734">
        <w:t xml:space="preserve">3GPP TSG RAN WG1 Meeting </w:t>
      </w:r>
      <w:r w:rsidR="0070615A">
        <w:t>#92</w:t>
      </w:r>
      <w:r w:rsidR="00890AB5">
        <w:t>bis</w:t>
      </w:r>
      <w:r w:rsidR="007A5B38" w:rsidRPr="000C5734">
        <w:tab/>
      </w:r>
      <w:r w:rsidR="0070615A" w:rsidRPr="00B76F33">
        <w:t>R1-</w:t>
      </w:r>
      <w:r w:rsidR="00B76F33" w:rsidRPr="00B76F33">
        <w:t>1805010</w:t>
      </w:r>
    </w:p>
    <w:p w14:paraId="161050DA" w14:textId="4CEA0479" w:rsidR="007A5B38" w:rsidRPr="007679B0" w:rsidRDefault="00890AB5" w:rsidP="007A5B38">
      <w:pPr>
        <w:pStyle w:val="3GPPHeader"/>
      </w:pPr>
      <w:r>
        <w:t>Sanya</w:t>
      </w:r>
      <w:r w:rsidRPr="000C5734">
        <w:t>,</w:t>
      </w:r>
      <w:r>
        <w:t xml:space="preserve"> China,</w:t>
      </w:r>
      <w:r w:rsidRPr="000C5734">
        <w:t xml:space="preserve"> </w:t>
      </w:r>
      <w:r>
        <w:t>16</w:t>
      </w:r>
      <w:r w:rsidRPr="00E90812">
        <w:rPr>
          <w:vertAlign w:val="superscript"/>
        </w:rPr>
        <w:t>th</w:t>
      </w:r>
      <w:r w:rsidR="0054355F">
        <w:t xml:space="preserve"> – 20</w:t>
      </w:r>
      <w:r w:rsidR="0054355F" w:rsidRPr="0054355F">
        <w:rPr>
          <w:vertAlign w:val="superscript"/>
        </w:rPr>
        <w:t>th</w:t>
      </w:r>
      <w:r w:rsidR="0054355F">
        <w:t xml:space="preserve"> </w:t>
      </w:r>
      <w:r>
        <w:t>April</w:t>
      </w:r>
      <w:r w:rsidR="0054355F">
        <w:t>,</w:t>
      </w:r>
      <w:r w:rsidRPr="000C5734">
        <w:t xml:space="preserve"> 2</w:t>
      </w:r>
      <w:r w:rsidR="000C5734" w:rsidRPr="000C5734">
        <w:t>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55E7F3A3" w:rsidR="00E90E49" w:rsidRPr="00327997" w:rsidRDefault="003D3C45" w:rsidP="00327997">
      <w:pPr>
        <w:pStyle w:val="3GPPHeader"/>
      </w:pPr>
      <w:r w:rsidRPr="00327997">
        <w:t>Title:</w:t>
      </w:r>
      <w:r w:rsidR="00E90E49" w:rsidRPr="00327997">
        <w:tab/>
      </w:r>
      <w:r w:rsidR="00CC5780" w:rsidRPr="00CC5780">
        <w:t>Physical layer channel design for NR unlicensed operation</w:t>
      </w:r>
    </w:p>
    <w:p w14:paraId="2D554DE3" w14:textId="28316586" w:rsidR="00952A24" w:rsidRPr="00327997" w:rsidRDefault="00952A24" w:rsidP="00327997">
      <w:pPr>
        <w:pStyle w:val="3GPPHeader"/>
      </w:pPr>
      <w:r w:rsidRPr="00327997">
        <w:t>Agenda Item:</w:t>
      </w:r>
      <w:r w:rsidRPr="00327997">
        <w:tab/>
      </w:r>
      <w:r w:rsidR="00CC5780">
        <w:t>7.6.3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43A9BC3" w14:textId="77777777" w:rsidR="00CA6697" w:rsidRDefault="00CA6697" w:rsidP="00CA6697">
      <w:pPr>
        <w:pStyle w:val="BodyText"/>
      </w:pPr>
      <w:r>
        <w:t xml:space="preserve">In order to efficiently utilize the large amounts of unlicensed spectrum available worldwide, both licensed operation and unlicensed operation are considered for NR. At RAN-75, a study item on NR-based Access to Unlicensed Spectrum was approved </w:t>
      </w:r>
      <w:r>
        <w:fldChar w:fldCharType="begin"/>
      </w:r>
      <w:r>
        <w:instrText xml:space="preserve"> REF _Ref481486326 \r \h </w:instrText>
      </w:r>
      <w:r>
        <w:fldChar w:fldCharType="separate"/>
      </w:r>
      <w:r>
        <w:t>[1]</w:t>
      </w:r>
      <w:r>
        <w:fldChar w:fldCharType="end"/>
      </w:r>
      <w:r>
        <w:t>. One objective is to:</w:t>
      </w:r>
    </w:p>
    <w:p w14:paraId="177657CB" w14:textId="77777777" w:rsidR="00CA6697" w:rsidRPr="00250E48" w:rsidRDefault="00CA6697" w:rsidP="00384499">
      <w:pPr>
        <w:numPr>
          <w:ilvl w:val="0"/>
          <w:numId w:val="16"/>
        </w:numPr>
        <w:rPr>
          <w:bCs/>
          <w:i/>
        </w:rPr>
      </w:pPr>
      <w:r w:rsidRPr="00250E48">
        <w:rPr>
          <w:bCs/>
          <w:i/>
        </w:rPr>
        <w:t xml:space="preserve">Study NR-based operation in unlicensed spectrum (RAN1, RAN2, RAN4) including </w:t>
      </w:r>
    </w:p>
    <w:p w14:paraId="3212B2F4" w14:textId="77777777" w:rsidR="00CA6697" w:rsidRPr="00250E48" w:rsidRDefault="00CA6697" w:rsidP="00384499">
      <w:pPr>
        <w:numPr>
          <w:ilvl w:val="1"/>
          <w:numId w:val="17"/>
        </w:numPr>
        <w:rPr>
          <w:bCs/>
          <w:i/>
        </w:rPr>
      </w:pPr>
      <w:r w:rsidRPr="00250E48">
        <w:rPr>
          <w:bCs/>
          <w:i/>
        </w:rPr>
        <w:t>Physical channels inheriting the choices of duplex mode, waveform, carrier bandwidth, subcarrier spacing, frame structure, and physical layer design made as part of the NR study and avoiding unnecessary divergence with decisions made in the NR WI</w:t>
      </w:r>
    </w:p>
    <w:p w14:paraId="12681AED" w14:textId="77777777" w:rsidR="00CA6697" w:rsidRPr="00250E48" w:rsidRDefault="00CA6697" w:rsidP="00384499">
      <w:pPr>
        <w:numPr>
          <w:ilvl w:val="2"/>
          <w:numId w:val="17"/>
        </w:numPr>
        <w:rPr>
          <w:bCs/>
          <w:i/>
        </w:rPr>
      </w:pPr>
      <w:r w:rsidRPr="00250E48">
        <w:rPr>
          <w:bCs/>
          <w:i/>
        </w:rPr>
        <w:t>Consider unlicensed bands both below and above 6GHz, up to 52.6GHz</w:t>
      </w:r>
    </w:p>
    <w:p w14:paraId="3EDDB93C" w14:textId="77777777" w:rsidR="00CA6697" w:rsidRPr="00250E48" w:rsidRDefault="00CA6697" w:rsidP="00384499">
      <w:pPr>
        <w:numPr>
          <w:ilvl w:val="2"/>
          <w:numId w:val="17"/>
        </w:numPr>
        <w:rPr>
          <w:bCs/>
          <w:i/>
        </w:rPr>
      </w:pPr>
      <w:r w:rsidRPr="00250E48">
        <w:rPr>
          <w:bCs/>
          <w:i/>
        </w:rPr>
        <w:t xml:space="preserve">Consider unlicensed bands above 52.6GHz to the extent </w:t>
      </w:r>
      <w:bookmarkStart w:id="0" w:name="_GoBack"/>
      <w:bookmarkEnd w:id="0"/>
      <w:r w:rsidRPr="00250E48">
        <w:rPr>
          <w:bCs/>
          <w:i/>
        </w:rPr>
        <w:t xml:space="preserve">that waveform design principles remain unchanged with respect to below 52.6GHz bands </w:t>
      </w:r>
    </w:p>
    <w:p w14:paraId="5B18030B" w14:textId="77777777" w:rsidR="00CA6697" w:rsidRPr="00250E48" w:rsidRDefault="00CA6697" w:rsidP="00384499">
      <w:pPr>
        <w:numPr>
          <w:ilvl w:val="2"/>
          <w:numId w:val="17"/>
        </w:numPr>
        <w:rPr>
          <w:bCs/>
          <w:i/>
        </w:rPr>
      </w:pPr>
      <w:r w:rsidRPr="00250E48">
        <w:rPr>
          <w:bCs/>
          <w:i/>
        </w:rPr>
        <w:t xml:space="preserve">Consider similar forward compatibility principles made in the NR WI </w:t>
      </w:r>
    </w:p>
    <w:p w14:paraId="4339AB71" w14:textId="77777777" w:rsidR="00CA6697" w:rsidRPr="00250E48" w:rsidRDefault="00CA6697" w:rsidP="00384499">
      <w:pPr>
        <w:numPr>
          <w:ilvl w:val="1"/>
          <w:numId w:val="17"/>
        </w:numPr>
        <w:rPr>
          <w:bCs/>
          <w:i/>
        </w:rPr>
      </w:pPr>
      <w:r w:rsidRPr="00250E48">
        <w:rPr>
          <w:bCs/>
          <w:i/>
        </w:rPr>
        <w:t>Initial access, channel access. Scheduling/HARQ, and mobility including connected/inactive/idle mode operation and radio-link monitoring/failure</w:t>
      </w:r>
    </w:p>
    <w:p w14:paraId="1672DDDA" w14:textId="77777777" w:rsidR="00CA6697" w:rsidRPr="00250E48" w:rsidRDefault="00CA6697" w:rsidP="00384499">
      <w:pPr>
        <w:numPr>
          <w:ilvl w:val="1"/>
          <w:numId w:val="17"/>
        </w:numPr>
        <w:rPr>
          <w:bCs/>
          <w:i/>
        </w:rPr>
      </w:pPr>
      <w:r w:rsidRPr="00250E48">
        <w:rPr>
          <w:bCs/>
          <w:i/>
        </w:rPr>
        <w:t xml:space="preserve">Coexistence methods within NR-based and between NR-based operation in unlicensed and LTE-based LAA and with other incumbent RATs in accordance with regulatory requirements in e.g., 5GHz , 37GHz, 60GHz bands </w:t>
      </w:r>
    </w:p>
    <w:p w14:paraId="4FB5B8D4" w14:textId="77777777" w:rsidR="00CA6697" w:rsidRPr="00250E48" w:rsidRDefault="00CA6697" w:rsidP="00384499">
      <w:pPr>
        <w:numPr>
          <w:ilvl w:val="2"/>
          <w:numId w:val="17"/>
        </w:numPr>
        <w:rPr>
          <w:bCs/>
          <w:i/>
        </w:rPr>
      </w:pPr>
      <w:r w:rsidRPr="00250E48">
        <w:rPr>
          <w:bCs/>
          <w:i/>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0980858B" w14:textId="68EBED9E" w:rsidR="00CA6697" w:rsidRDefault="00CA6697" w:rsidP="00384499">
      <w:pPr>
        <w:pStyle w:val="BodyText"/>
        <w:spacing w:before="120"/>
      </w:pPr>
      <w:r>
        <w:t xml:space="preserve">In this contribution we discuss </w:t>
      </w:r>
      <w:r w:rsidR="00384499">
        <w:t>physical layer channel design</w:t>
      </w:r>
      <w:r>
        <w:t xml:space="preserve"> to </w:t>
      </w:r>
      <w:r w:rsidR="00384499">
        <w:t>fulfil</w:t>
      </w:r>
      <w:r>
        <w:t xml:space="preserve"> these study item objectives. </w:t>
      </w:r>
    </w:p>
    <w:p w14:paraId="3CB8F8BC" w14:textId="2433B397" w:rsidR="004000E8" w:rsidRDefault="004000E8" w:rsidP="00CE0424">
      <w:pPr>
        <w:pStyle w:val="Heading1"/>
      </w:pPr>
      <w:bookmarkStart w:id="1" w:name="_Ref178064866"/>
      <w:r w:rsidRPr="00CE0424">
        <w:t>Discussion</w:t>
      </w:r>
      <w:bookmarkEnd w:id="1"/>
    </w:p>
    <w:p w14:paraId="6E7D7B06" w14:textId="32C262AF" w:rsidR="009B4418" w:rsidRDefault="009B4418" w:rsidP="009B4418">
      <w:pPr>
        <w:pStyle w:val="Heading2"/>
      </w:pPr>
      <w:r>
        <w:t>Interlace Design for Uplink Channels</w:t>
      </w:r>
    </w:p>
    <w:p w14:paraId="2429B5B1" w14:textId="156FBB71" w:rsidR="001A70FD" w:rsidRPr="00A33C41" w:rsidRDefault="001A70FD" w:rsidP="00A33C41">
      <w:pPr>
        <w:pStyle w:val="BodyText"/>
      </w:pPr>
      <w:r w:rsidRPr="00A33C41">
        <w:t>Two requirements are commonly found in regulations for operation in unlicensed spectrum</w:t>
      </w:r>
      <w:r w:rsidR="00A33C41">
        <w:t xml:space="preserve">: (1) Occupied channel bandwidth, and (2) Maximum power spectral density (PSD). </w:t>
      </w:r>
      <w:r w:rsidRPr="00A33C41">
        <w:t>The occupied bandwidth requirement is expressed as the bandwidth containing 99% of the power of the signal</w:t>
      </w:r>
      <w:r w:rsidR="00A33C41">
        <w:t>,</w:t>
      </w:r>
      <w:r w:rsidRPr="00A33C41">
        <w:t xml:space="preserve"> and </w:t>
      </w:r>
      <w:r w:rsidR="00A33C41">
        <w:t xml:space="preserve">it </w:t>
      </w:r>
      <w:r w:rsidRPr="00A33C41">
        <w:t>shall be between 80% and 100% of the declared Nominal Channel Bandwidth</w:t>
      </w:r>
      <w:r w:rsidR="00A33C41">
        <w:t xml:space="preserve"> </w:t>
      </w:r>
      <w:r w:rsidR="00A33C41">
        <w:fldChar w:fldCharType="begin"/>
      </w:r>
      <w:r w:rsidR="00A33C41">
        <w:instrText xml:space="preserve"> REF _Ref506538725 \r \h </w:instrText>
      </w:r>
      <w:r w:rsidR="00A33C41">
        <w:fldChar w:fldCharType="separate"/>
      </w:r>
      <w:r w:rsidR="00A33C41">
        <w:t>[2]</w:t>
      </w:r>
      <w:r w:rsidR="00A33C41">
        <w:fldChar w:fldCharType="end"/>
      </w:r>
      <w:r w:rsidRPr="00A33C41">
        <w:t>. Maximum PSD requirements exist in many different regions. For most cases the requirement is stated with a resolution bandwidth of 1 MHz. For example, the ETSI 301 893 spec requires 10 dBm/MHz for 5150-5350 MHz. The implication of the PSD requirement is that</w:t>
      </w:r>
      <w:r w:rsidR="00A33C41">
        <w:t xml:space="preserve"> </w:t>
      </w:r>
      <w:r w:rsidRPr="00A33C41">
        <w:t xml:space="preserve">without </w:t>
      </w:r>
      <w:r w:rsidR="00A33C41">
        <w:t xml:space="preserve">a </w:t>
      </w:r>
      <w:r w:rsidRPr="00A33C41">
        <w:t xml:space="preserve">proper </w:t>
      </w:r>
      <w:r w:rsidR="00A33C41">
        <w:t xml:space="preserve">physical layer signal </w:t>
      </w:r>
      <w:r w:rsidRPr="00A33C41">
        <w:t>design, a signal with small transmission bandwidth will be limited in transmission power. This can negatively affect coverage.</w:t>
      </w:r>
    </w:p>
    <w:p w14:paraId="093FC7EE" w14:textId="0F9CA634" w:rsidR="001A70FD" w:rsidRPr="00B00D6D" w:rsidRDefault="00A33C41" w:rsidP="001A70FD">
      <w:pPr>
        <w:pStyle w:val="BodyText"/>
      </w:pPr>
      <w:r>
        <w:t xml:space="preserve">This has been solved for </w:t>
      </w:r>
      <w:r w:rsidR="001A70FD" w:rsidRPr="00A33C41">
        <w:t>LTE-based LAA</w:t>
      </w:r>
      <w:r>
        <w:t xml:space="preserve"> by introducing </w:t>
      </w:r>
      <w:r w:rsidR="00FC0500">
        <w:t xml:space="preserve">frequency domain </w:t>
      </w:r>
      <w:r w:rsidR="001A70FD" w:rsidRPr="00A33C41">
        <w:t>interlac</w:t>
      </w:r>
      <w:r>
        <w:t>ed</w:t>
      </w:r>
      <w:r w:rsidR="001A70FD" w:rsidRPr="00A33C41">
        <w:t xml:space="preserve"> transmissions </w:t>
      </w:r>
      <w:r>
        <w:t xml:space="preserve">in the UL. This allows a </w:t>
      </w:r>
      <w:r w:rsidR="001A70FD" w:rsidRPr="00A33C41">
        <w:t>U</w:t>
      </w:r>
      <w:r>
        <w:t xml:space="preserve">E </w:t>
      </w:r>
      <w:r w:rsidR="001A70FD" w:rsidRPr="00A33C41">
        <w:t xml:space="preserve">to transmit with </w:t>
      </w:r>
      <w:r>
        <w:t>higher</w:t>
      </w:r>
      <w:r w:rsidR="001A70FD" w:rsidRPr="00A33C41">
        <w:t xml:space="preserve"> power (and, to a lesser extent, to satisfy the occupied channel bandwidth requirement) even when the scheduled bandwidth need is small. It is expected </w:t>
      </w:r>
      <w:r>
        <w:t xml:space="preserve">that NR </w:t>
      </w:r>
      <w:r w:rsidR="00905625">
        <w:t>also adopts a</w:t>
      </w:r>
      <w:r>
        <w:t xml:space="preserve"> similar design philosophy in order to support unlicensed operations.</w:t>
      </w:r>
    </w:p>
    <w:p w14:paraId="7A1EE169" w14:textId="52E77397" w:rsidR="001A70FD" w:rsidRPr="00B00D6D" w:rsidRDefault="00101F5A" w:rsidP="00A33C41">
      <w:pPr>
        <w:pStyle w:val="Proposal"/>
      </w:pPr>
      <w:bookmarkStart w:id="2" w:name="_Toc506553713"/>
      <w:bookmarkStart w:id="3" w:name="_Toc510442129"/>
      <w:bookmarkStart w:id="4" w:name="_Toc510442770"/>
      <w:bookmarkStart w:id="5" w:name="_Toc510449521"/>
      <w:bookmarkStart w:id="6" w:name="_Toc510450965"/>
      <w:bookmarkStart w:id="7" w:name="_Toc510452865"/>
      <w:bookmarkStart w:id="8" w:name="_Toc510731127"/>
      <w:bookmarkStart w:id="9" w:name="_Toc510731374"/>
      <w:bookmarkStart w:id="10" w:name="_Toc510775724"/>
      <w:r>
        <w:t>Support</w:t>
      </w:r>
      <w:r w:rsidR="001A70FD" w:rsidRPr="00B00D6D">
        <w:t xml:space="preserve"> </w:t>
      </w:r>
      <w:r w:rsidR="00A33C41">
        <w:t xml:space="preserve">a </w:t>
      </w:r>
      <w:r w:rsidR="006704B3">
        <w:t xml:space="preserve">frequency domain </w:t>
      </w:r>
      <w:r w:rsidR="00A33C41">
        <w:t xml:space="preserve">interlaced </w:t>
      </w:r>
      <w:r w:rsidR="008E24B6">
        <w:t>structure</w:t>
      </w:r>
      <w:r w:rsidR="00A33C41">
        <w:t xml:space="preserve"> for </w:t>
      </w:r>
      <w:r w:rsidR="006704B3">
        <w:t xml:space="preserve">uplink </w:t>
      </w:r>
      <w:r w:rsidR="00A33C41">
        <w:t>physical channels and reference signals for</w:t>
      </w:r>
      <w:r w:rsidR="006704B3">
        <w:t xml:space="preserve"> </w:t>
      </w:r>
      <w:r w:rsidR="001A70FD" w:rsidRPr="00B00D6D">
        <w:t>NR-U</w:t>
      </w:r>
      <w:bookmarkEnd w:id="2"/>
      <w:bookmarkEnd w:id="3"/>
      <w:bookmarkEnd w:id="4"/>
      <w:bookmarkEnd w:id="5"/>
      <w:bookmarkEnd w:id="6"/>
      <w:bookmarkEnd w:id="7"/>
      <w:bookmarkEnd w:id="8"/>
      <w:bookmarkEnd w:id="9"/>
      <w:bookmarkEnd w:id="10"/>
    </w:p>
    <w:p w14:paraId="7036DEAB" w14:textId="5E5B5E3A" w:rsidR="006704B3" w:rsidRDefault="006704B3" w:rsidP="00A33C41">
      <w:pPr>
        <w:pStyle w:val="BodyText"/>
      </w:pPr>
      <w:r>
        <w:rPr>
          <w:rStyle w:val="IvDbodytextChar"/>
          <w:rFonts w:ascii="Times New Roman" w:hAnsi="Times New Roman"/>
          <w:sz w:val="20"/>
        </w:rPr>
        <w:lastRenderedPageBreak/>
        <w:t>In contrast to L</w:t>
      </w:r>
      <w:r w:rsidR="001A70FD" w:rsidRPr="00B00D6D">
        <w:t>TE-based LAA</w:t>
      </w:r>
      <w:r w:rsidR="001A70FD" w:rsidRPr="00B00D6D">
        <w:rPr>
          <w:rStyle w:val="IvDbodytextChar"/>
          <w:rFonts w:ascii="Times New Roman" w:hAnsi="Times New Roman"/>
          <w:sz w:val="20"/>
        </w:rPr>
        <w:t xml:space="preserve">, it is expected that </w:t>
      </w:r>
      <w:r w:rsidR="001A70FD" w:rsidRPr="00B00D6D">
        <w:t xml:space="preserve">there </w:t>
      </w:r>
      <w:r>
        <w:t>will be a need for</w:t>
      </w:r>
      <w:r w:rsidR="001A70FD" w:rsidRPr="00B00D6D">
        <w:t xml:space="preserve"> more </w:t>
      </w:r>
      <w:r>
        <w:t xml:space="preserve">interlace </w:t>
      </w:r>
      <w:r w:rsidR="001A70FD" w:rsidRPr="00B00D6D">
        <w:t xml:space="preserve">options </w:t>
      </w:r>
      <w:r>
        <w:t>for NR, since the system bandwidth is more flexible and multiple subcarrier spacings (SCSs) are supported. This will require, for example, flexibility in the number of interlaces and the number of PRBs per interlace.</w:t>
      </w:r>
    </w:p>
    <w:p w14:paraId="6F6B061C" w14:textId="4E86CC59" w:rsidR="001A70FD" w:rsidRPr="00B00D6D" w:rsidRDefault="00976D5F" w:rsidP="00081B0F">
      <w:pPr>
        <w:pStyle w:val="BodyText"/>
      </w:pPr>
      <w:r>
        <w:rPr>
          <w:rStyle w:val="IvDbodytextChar"/>
          <w:rFonts w:ascii="Times New Roman" w:hAnsi="Times New Roman"/>
          <w:sz w:val="20"/>
        </w:rPr>
        <w:t xml:space="preserve">As described in more detail in a companion paper on interlaced design for NR-U uplink </w:t>
      </w:r>
      <w:r>
        <w:fldChar w:fldCharType="begin"/>
      </w:r>
      <w:r>
        <w:instrText xml:space="preserve"> REF _Ref510440098 \r \h </w:instrText>
      </w:r>
      <w:r>
        <w:fldChar w:fldCharType="separate"/>
      </w:r>
      <w:r>
        <w:t>[3]</w:t>
      </w:r>
      <w:r>
        <w:fldChar w:fldCharType="end"/>
      </w:r>
      <w:r>
        <w:t>, we propose adopting several design criteria: sufficiently high output power, flexible resource allocation, reasonable signalling overhead, and PRACH considers.</w:t>
      </w:r>
      <w:r>
        <w:rPr>
          <w:rStyle w:val="IvDbodytextChar"/>
          <w:rFonts w:ascii="Times New Roman" w:hAnsi="Times New Roman"/>
          <w:sz w:val="20"/>
        </w:rPr>
        <w:t xml:space="preserve"> </w:t>
      </w:r>
      <w:r w:rsidR="001A70FD" w:rsidRPr="00B00D6D">
        <w:rPr>
          <w:rStyle w:val="IvDbodytextChar"/>
          <w:rFonts w:ascii="Times New Roman" w:hAnsi="Times New Roman"/>
          <w:sz w:val="20"/>
        </w:rPr>
        <w:t xml:space="preserve">In general, </w:t>
      </w:r>
      <w:r>
        <w:rPr>
          <w:rStyle w:val="IvDbodytextChar"/>
          <w:rFonts w:ascii="Times New Roman" w:hAnsi="Times New Roman"/>
          <w:sz w:val="20"/>
        </w:rPr>
        <w:t>these</w:t>
      </w:r>
      <w:r w:rsidR="001A70FD" w:rsidRPr="00B00D6D">
        <w:rPr>
          <w:rStyle w:val="IvDbodytextChar"/>
          <w:rFonts w:ascii="Times New Roman" w:hAnsi="Times New Roman"/>
          <w:sz w:val="20"/>
        </w:rPr>
        <w:t xml:space="preserve"> criteria</w:t>
      </w:r>
      <w:r w:rsidR="00081B0F">
        <w:rPr>
          <w:rStyle w:val="IvDbodytextChar"/>
          <w:rFonts w:ascii="Times New Roman" w:hAnsi="Times New Roman"/>
          <w:sz w:val="20"/>
        </w:rPr>
        <w:t xml:space="preserve"> affect the interlaced design in terms of the number of interlaces and the number of PRBs per interlace.</w:t>
      </w:r>
      <w:r w:rsidR="001A70FD" w:rsidRPr="00B00D6D">
        <w:rPr>
          <w:rStyle w:val="IvDbodytextChar"/>
          <w:rFonts w:ascii="Times New Roman" w:hAnsi="Times New Roman"/>
          <w:sz w:val="20"/>
        </w:rPr>
        <w:t xml:space="preserve"> Due to regulation</w:t>
      </w:r>
      <w:r w:rsidR="00081B0F">
        <w:rPr>
          <w:rStyle w:val="IvDbodytextChar"/>
          <w:rFonts w:ascii="Times New Roman" w:hAnsi="Times New Roman"/>
          <w:sz w:val="20"/>
        </w:rPr>
        <w:t>s</w:t>
      </w:r>
      <w:r w:rsidR="001A70FD" w:rsidRPr="00B00D6D">
        <w:rPr>
          <w:rStyle w:val="IvDbodytextChar"/>
          <w:rFonts w:ascii="Times New Roman" w:hAnsi="Times New Roman"/>
          <w:sz w:val="20"/>
        </w:rPr>
        <w:t xml:space="preserve"> and agreements in RAN#4, the total number of </w:t>
      </w:r>
      <w:r w:rsidR="001A70FD" w:rsidRPr="00B00D6D">
        <w:t xml:space="preserve">available PRBs for each system bandwidth and subcarrier spacing is limited. </w:t>
      </w:r>
      <w:r w:rsidR="00081B0F">
        <w:t>Considering this, one must take into account all above design criteria, achieving the right trade-offs leading to a balanced design.</w:t>
      </w:r>
      <w:r w:rsidR="001A70FD" w:rsidRPr="00B00D6D">
        <w:t xml:space="preserve"> </w:t>
      </w:r>
    </w:p>
    <w:p w14:paraId="77D663E5" w14:textId="7602D4D7" w:rsidR="001A70FD" w:rsidRPr="00B00D6D" w:rsidRDefault="00081B0F" w:rsidP="001A70FD">
      <w:pPr>
        <w:pStyle w:val="Proposal"/>
        <w:rPr>
          <w:rStyle w:val="IvDbodytextChar"/>
          <w:rFonts w:ascii="Times New Roman" w:hAnsi="Times New Roman"/>
          <w:sz w:val="20"/>
        </w:rPr>
      </w:pPr>
      <w:bookmarkStart w:id="11" w:name="_Toc506553714"/>
      <w:bookmarkStart w:id="12" w:name="_Toc510442130"/>
      <w:bookmarkStart w:id="13" w:name="_Toc510442771"/>
      <w:bookmarkStart w:id="14" w:name="_Toc510449522"/>
      <w:bookmarkStart w:id="15" w:name="_Toc510450966"/>
      <w:bookmarkStart w:id="16" w:name="_Toc510452866"/>
      <w:bookmarkStart w:id="17" w:name="_Toc510731128"/>
      <w:bookmarkStart w:id="18" w:name="_Toc510731375"/>
      <w:bookmarkStart w:id="19" w:name="_Toc510775725"/>
      <w:r>
        <w:t>An i</w:t>
      </w:r>
      <w:r w:rsidR="001A70FD" w:rsidRPr="00B00D6D">
        <w:t>nterlace</w:t>
      </w:r>
      <w:r>
        <w:t>d</w:t>
      </w:r>
      <w:r w:rsidR="001A70FD" w:rsidRPr="00B00D6D">
        <w:t xml:space="preserve"> design for NR-U should balance the trade-offs between supporting maximum transmit power, minimizing signalling overhead, enabling flexible resource allocation, and ensuring suitability for different </w:t>
      </w:r>
      <w:r>
        <w:t xml:space="preserve">uplink </w:t>
      </w:r>
      <w:r w:rsidR="001A70FD" w:rsidRPr="00B00D6D">
        <w:rPr>
          <w:rStyle w:val="IvDbodytextChar"/>
          <w:rFonts w:ascii="Times New Roman" w:hAnsi="Times New Roman"/>
          <w:sz w:val="20"/>
        </w:rPr>
        <w:t xml:space="preserve">physical </w:t>
      </w:r>
      <w:bookmarkEnd w:id="11"/>
      <w:r>
        <w:rPr>
          <w:rStyle w:val="IvDbodytextChar"/>
          <w:rFonts w:ascii="Times New Roman" w:hAnsi="Times New Roman"/>
          <w:sz w:val="20"/>
        </w:rPr>
        <w:t>chan</w:t>
      </w:r>
      <w:r w:rsidR="00F95B35">
        <w:rPr>
          <w:rStyle w:val="IvDbodytextChar"/>
          <w:rFonts w:ascii="Times New Roman" w:hAnsi="Times New Roman"/>
          <w:sz w:val="20"/>
        </w:rPr>
        <w:t>n</w:t>
      </w:r>
      <w:r>
        <w:rPr>
          <w:rStyle w:val="IvDbodytextChar"/>
          <w:rFonts w:ascii="Times New Roman" w:hAnsi="Times New Roman"/>
          <w:sz w:val="20"/>
        </w:rPr>
        <w:t>els and reference signals.</w:t>
      </w:r>
      <w:bookmarkEnd w:id="12"/>
      <w:bookmarkEnd w:id="13"/>
      <w:bookmarkEnd w:id="14"/>
      <w:bookmarkEnd w:id="15"/>
      <w:bookmarkEnd w:id="16"/>
      <w:bookmarkEnd w:id="17"/>
      <w:bookmarkEnd w:id="18"/>
      <w:bookmarkEnd w:id="19"/>
      <w:r>
        <w:rPr>
          <w:rStyle w:val="IvDbodytextChar"/>
          <w:rFonts w:ascii="Times New Roman" w:hAnsi="Times New Roman"/>
          <w:sz w:val="20"/>
        </w:rPr>
        <w:t xml:space="preserve"> </w:t>
      </w:r>
    </w:p>
    <w:p w14:paraId="264AD727" w14:textId="71C1A0B8" w:rsidR="009B4418" w:rsidRDefault="009B4418" w:rsidP="009B4418">
      <w:pPr>
        <w:pStyle w:val="Heading3"/>
      </w:pPr>
      <w:r>
        <w:t>PUCCH</w:t>
      </w:r>
    </w:p>
    <w:p w14:paraId="6B82A999" w14:textId="27192495" w:rsidR="00F95B35" w:rsidRDefault="00F95B35" w:rsidP="00F95B35">
      <w:r w:rsidRPr="0081136C">
        <w:t xml:space="preserve">Using </w:t>
      </w:r>
      <w:r>
        <w:t>the above mentioned interlaced design for PUCCH is a good way to satisfy the regulations on the unlicensed bands.</w:t>
      </w:r>
      <w:r w:rsidR="00905625">
        <w:t xml:space="preserve"> Depending on the coherence bandwidth of the channel, the interlaced design (which spreads the signal in frequency) will give frequency diversity gains without the need for frequency hopping. </w:t>
      </w:r>
      <w:r w:rsidR="00976D5F">
        <w:t>Hence, we propose</w:t>
      </w:r>
    </w:p>
    <w:p w14:paraId="5A3BA890" w14:textId="240F63A4" w:rsidR="003D3EB3" w:rsidRDefault="003D3EB3" w:rsidP="00B76F33">
      <w:pPr>
        <w:pStyle w:val="Proposal"/>
      </w:pPr>
      <w:bookmarkStart w:id="20" w:name="_Toc510731129"/>
      <w:bookmarkStart w:id="21" w:name="_Toc510731376"/>
      <w:bookmarkStart w:id="22" w:name="_Toc510775726"/>
      <w:r>
        <w:t>Support a frequency domain interlaced structure for PUCCH in NR-U</w:t>
      </w:r>
      <w:bookmarkEnd w:id="20"/>
      <w:bookmarkEnd w:id="21"/>
      <w:bookmarkEnd w:id="22"/>
    </w:p>
    <w:p w14:paraId="0EB14E38" w14:textId="77777777" w:rsidR="00F95B35" w:rsidRPr="00B00D6D" w:rsidRDefault="00F95B35" w:rsidP="00F95B35">
      <w:pPr>
        <w:pStyle w:val="Proposal"/>
      </w:pPr>
      <w:bookmarkStart w:id="23" w:name="_Toc510731130"/>
      <w:bookmarkStart w:id="24" w:name="_Toc510731377"/>
      <w:bookmarkStart w:id="25" w:name="_Toc510775727"/>
      <w:r>
        <w:t>NR-U PUCCH does not support frequency hopping.</w:t>
      </w:r>
      <w:bookmarkEnd w:id="23"/>
      <w:bookmarkEnd w:id="24"/>
      <w:bookmarkEnd w:id="25"/>
    </w:p>
    <w:p w14:paraId="431262BB" w14:textId="11835FE6" w:rsidR="00F95B35" w:rsidRDefault="003D3EB3" w:rsidP="00F95B35">
      <w:r>
        <w:t>For an interlaced design, w</w:t>
      </w:r>
      <w:r w:rsidR="00976D5F">
        <w:t>ithout proper multiplexing considerations</w:t>
      </w:r>
      <w:r>
        <w:t xml:space="preserve">, </w:t>
      </w:r>
      <w:r w:rsidR="00976D5F">
        <w:t xml:space="preserve">a simple allocation of </w:t>
      </w:r>
      <w:r w:rsidR="00F95B35">
        <w:t xml:space="preserve">multiple PRBs to a single PUCCH </w:t>
      </w:r>
      <w:r w:rsidR="00976D5F">
        <w:t xml:space="preserve">resource for a user will reduce overall PUCCH capacity. </w:t>
      </w:r>
      <w:r w:rsidR="00F95B35">
        <w:t xml:space="preserve">To maintain </w:t>
      </w:r>
      <w:r w:rsidR="00976D5F">
        <w:t>PUCCH capacity</w:t>
      </w:r>
      <w:r>
        <w:t>,</w:t>
      </w:r>
      <w:r w:rsidR="00976D5F">
        <w:t xml:space="preserve"> </w:t>
      </w:r>
      <w:r w:rsidR="00F95B35">
        <w:t>new</w:t>
      </w:r>
      <w:r>
        <w:t xml:space="preserve"> user-</w:t>
      </w:r>
      <w:r w:rsidR="00F95B35">
        <w:t xml:space="preserve">multiplexing schemes will </w:t>
      </w:r>
      <w:r>
        <w:t>need</w:t>
      </w:r>
      <w:r w:rsidR="00F95B35">
        <w:t xml:space="preserve"> to be </w:t>
      </w:r>
      <w:r w:rsidR="00976D5F">
        <w:t>introduced</w:t>
      </w:r>
      <w:r w:rsidR="00F95B35">
        <w:t xml:space="preserve"> </w:t>
      </w:r>
      <w:r w:rsidR="00976D5F">
        <w:t>for</w:t>
      </w:r>
      <w:r w:rsidR="00F95B35">
        <w:t xml:space="preserve"> PUCCH in NR-U.</w:t>
      </w:r>
    </w:p>
    <w:p w14:paraId="3362761A" w14:textId="188809D7" w:rsidR="00F95B35" w:rsidRPr="00B00D6D" w:rsidRDefault="003D3EB3" w:rsidP="00F95B35">
      <w:pPr>
        <w:pStyle w:val="Proposal"/>
      </w:pPr>
      <w:bookmarkStart w:id="26" w:name="_Toc510731131"/>
      <w:bookmarkStart w:id="27" w:name="_Toc510731378"/>
      <w:bookmarkStart w:id="28" w:name="_Toc510775728"/>
      <w:r>
        <w:t>For PUCCH in NR-U, m</w:t>
      </w:r>
      <w:r w:rsidR="00F95B35">
        <w:t xml:space="preserve">aintaining a </w:t>
      </w:r>
      <w:r>
        <w:t>user-</w:t>
      </w:r>
      <w:r w:rsidR="00F95B35">
        <w:t>multiplexing level similar to NR is a priority.</w:t>
      </w:r>
      <w:bookmarkEnd w:id="26"/>
      <w:bookmarkEnd w:id="27"/>
      <w:bookmarkEnd w:id="28"/>
    </w:p>
    <w:p w14:paraId="5F88FA3C" w14:textId="1C033D65" w:rsidR="00D8338D" w:rsidRDefault="00D8338D" w:rsidP="00D8338D">
      <w:pPr>
        <w:ind w:firstLine="567"/>
      </w:pPr>
    </w:p>
    <w:p w14:paraId="65E87F37" w14:textId="613249D8" w:rsidR="00731E28" w:rsidRPr="00731E28" w:rsidRDefault="007E7B2C" w:rsidP="00731E28">
      <w:pPr>
        <w:pStyle w:val="Heading3"/>
      </w:pPr>
      <w:r>
        <w:t>PRACH</w:t>
      </w:r>
    </w:p>
    <w:p w14:paraId="23C1ADEB" w14:textId="616DD79C" w:rsidR="00983AD5" w:rsidRPr="009D1E03" w:rsidRDefault="00983AD5" w:rsidP="00983AD5">
      <w:pPr>
        <w:pStyle w:val="BodyText"/>
      </w:pPr>
      <w:r w:rsidRPr="009D1E03">
        <w:t>Support for PRACH</w:t>
      </w:r>
      <w:r w:rsidR="0072588E" w:rsidRPr="009D1E03">
        <w:t xml:space="preserve"> for NR-U </w:t>
      </w:r>
      <w:r w:rsidRPr="009D1E03">
        <w:t xml:space="preserve">is relevant </w:t>
      </w:r>
      <w:r w:rsidR="0072588E" w:rsidRPr="009D1E03">
        <w:t xml:space="preserve">not only for the </w:t>
      </w:r>
      <w:r w:rsidRPr="009D1E03">
        <w:t>stand-alone scenario</w:t>
      </w:r>
      <w:r w:rsidR="0072588E" w:rsidRPr="009D1E03">
        <w:t>, but also for dual connectivity scenarios (NR-U + LTE and NR-U + NR).</w:t>
      </w:r>
      <w:r w:rsidRPr="009D1E03">
        <w:t xml:space="preserve"> NR supports both long (L = 839) and short (L = 139) preamble sequences. The long preambles mainly </w:t>
      </w:r>
      <w:r w:rsidR="0072588E" w:rsidRPr="009D1E03">
        <w:t>target</w:t>
      </w:r>
      <w:r w:rsidRPr="009D1E03">
        <w:t xml:space="preserve"> large cell deployments which are not applicable for sub-7GHz spectrum. For NR-U, only short preambles are of interest</w:t>
      </w:r>
      <w:r w:rsidR="0072588E" w:rsidRPr="009D1E03">
        <w:t>, since NR-U is expected to be deployed in relatively small cells.</w:t>
      </w:r>
      <w:r w:rsidRPr="009D1E03">
        <w:t xml:space="preserve"> </w:t>
      </w:r>
    </w:p>
    <w:p w14:paraId="5839C711" w14:textId="2344F11D" w:rsidR="00983AD5" w:rsidRPr="009D1E03" w:rsidRDefault="009D1E03" w:rsidP="00983AD5">
      <w:pPr>
        <w:pStyle w:val="Proposal"/>
      </w:pPr>
      <w:bookmarkStart w:id="29" w:name="_Toc506553721"/>
      <w:bookmarkStart w:id="30" w:name="_Toc510450967"/>
      <w:bookmarkStart w:id="31" w:name="_Toc510452867"/>
      <w:bookmarkStart w:id="32" w:name="_Toc510731132"/>
      <w:bookmarkStart w:id="33" w:name="_Toc510731379"/>
      <w:bookmarkStart w:id="34" w:name="_Toc510775729"/>
      <w:r>
        <w:t>Sup</w:t>
      </w:r>
      <w:r w:rsidR="00983AD5" w:rsidRPr="009D1E03">
        <w:t>port short PRACH sequence length</w:t>
      </w:r>
      <w:bookmarkEnd w:id="29"/>
      <w:bookmarkEnd w:id="30"/>
      <w:r>
        <w:t xml:space="preserve"> for NR-U</w:t>
      </w:r>
      <w:bookmarkEnd w:id="31"/>
      <w:bookmarkEnd w:id="32"/>
      <w:bookmarkEnd w:id="33"/>
      <w:bookmarkEnd w:id="34"/>
    </w:p>
    <w:p w14:paraId="3B96C7F2" w14:textId="170F2C88" w:rsidR="00983AD5" w:rsidRPr="009D1E03" w:rsidRDefault="00983AD5" w:rsidP="00983AD5">
      <w:pPr>
        <w:pStyle w:val="BodyText"/>
      </w:pPr>
      <w:r w:rsidRPr="009D1E03">
        <w:t xml:space="preserve">As described </w:t>
      </w:r>
      <w:r w:rsidR="0072588E" w:rsidRPr="009D1E03">
        <w:t>above</w:t>
      </w:r>
      <w:r w:rsidRPr="009D1E03">
        <w:t>, interlaced resource allocation is needed for UL transmissions</w:t>
      </w:r>
      <w:r w:rsidR="0072588E" w:rsidRPr="009D1E03">
        <w:t xml:space="preserve"> </w:t>
      </w:r>
      <w:r w:rsidR="009D1E03" w:rsidRPr="009D1E03">
        <w:t xml:space="preserve">in order to fulfil the PSD requirements in most regulations </w:t>
      </w:r>
      <w:r w:rsidR="0072588E" w:rsidRPr="009D1E03">
        <w:t>– and this includes</w:t>
      </w:r>
      <w:r w:rsidRPr="009D1E03">
        <w:t xml:space="preserve"> PRACH. </w:t>
      </w:r>
      <w:r w:rsidR="009D1E03" w:rsidRPr="009D1E03">
        <w:t xml:space="preserve">Regarding numerology, in NR, only subcarrier spacings of 15 and 30 kHz for PRACH are supported for sub-6 GHz operation, whereas 60 kHz SCS is supported for PUSCH. Hence, to allow multiplexing of interlaced PUSCH and PRACH, 60 kHz SCS </w:t>
      </w:r>
      <w:r w:rsidRPr="009D1E03">
        <w:t>for PRACH transmission in spectrum below 6GHz is needed</w:t>
      </w:r>
      <w:r w:rsidR="009D1E03" w:rsidRPr="009D1E03">
        <w:t>.</w:t>
      </w:r>
    </w:p>
    <w:p w14:paraId="2281508E" w14:textId="6B85B9B0" w:rsidR="00983AD5" w:rsidRPr="009D1E03" w:rsidRDefault="009D1E03" w:rsidP="00983AD5">
      <w:pPr>
        <w:pStyle w:val="Proposal"/>
      </w:pPr>
      <w:bookmarkStart w:id="35" w:name="_Toc510452868"/>
      <w:bookmarkStart w:id="36" w:name="_Toc510731133"/>
      <w:bookmarkStart w:id="37" w:name="_Toc510731380"/>
      <w:bookmarkStart w:id="38" w:name="_Toc510775730"/>
      <w:r>
        <w:t>Support</w:t>
      </w:r>
      <w:r w:rsidRPr="00B00D6D">
        <w:t xml:space="preserve"> </w:t>
      </w:r>
      <w:r>
        <w:t xml:space="preserve">a frequency domain interlaced </w:t>
      </w:r>
      <w:r w:rsidR="008E24B6">
        <w:t>structure</w:t>
      </w:r>
      <w:r>
        <w:t xml:space="preserve"> for PRACH for </w:t>
      </w:r>
      <w:r w:rsidRPr="00B00D6D">
        <w:t>NR-U</w:t>
      </w:r>
      <w:r>
        <w:t>.</w:t>
      </w:r>
      <w:bookmarkEnd w:id="35"/>
      <w:bookmarkEnd w:id="36"/>
      <w:bookmarkEnd w:id="37"/>
      <w:bookmarkEnd w:id="38"/>
    </w:p>
    <w:p w14:paraId="55FC0F8E" w14:textId="08E9C62B" w:rsidR="00983AD5" w:rsidRPr="009D1E03" w:rsidRDefault="00983AD5" w:rsidP="00983AD5">
      <w:pPr>
        <w:pStyle w:val="Proposal"/>
      </w:pPr>
      <w:bookmarkStart w:id="39" w:name="_Toc506553723"/>
      <w:bookmarkStart w:id="40" w:name="_Toc510450969"/>
      <w:bookmarkStart w:id="41" w:name="_Toc510452869"/>
      <w:bookmarkStart w:id="42" w:name="_Toc510731134"/>
      <w:bookmarkStart w:id="43" w:name="_Toc510731381"/>
      <w:bookmarkStart w:id="44" w:name="_Toc510775731"/>
      <w:r w:rsidRPr="009D1E03">
        <w:t xml:space="preserve">For </w:t>
      </w:r>
      <w:r w:rsidR="009D1E03">
        <w:t>sub-</w:t>
      </w:r>
      <w:r w:rsidRPr="009D1E03">
        <w:t xml:space="preserve">6GHz NR-U operation, </w:t>
      </w:r>
      <w:r w:rsidR="009D1E03">
        <w:t>support 60 kHz</w:t>
      </w:r>
      <w:r w:rsidRPr="009D1E03">
        <w:t xml:space="preserve"> </w:t>
      </w:r>
      <w:r w:rsidR="009D1E03">
        <w:t>SCS for PRACH preamble transmission</w:t>
      </w:r>
      <w:r w:rsidRPr="009D1E03">
        <w:t>.</w:t>
      </w:r>
      <w:bookmarkEnd w:id="39"/>
      <w:bookmarkEnd w:id="40"/>
      <w:bookmarkEnd w:id="41"/>
      <w:bookmarkEnd w:id="42"/>
      <w:bookmarkEnd w:id="43"/>
      <w:bookmarkEnd w:id="44"/>
      <w:r w:rsidRPr="009D1E03">
        <w:t xml:space="preserve"> </w:t>
      </w:r>
    </w:p>
    <w:p w14:paraId="6CAE3308" w14:textId="11C5B909" w:rsidR="00983AD5" w:rsidRPr="009D1E03" w:rsidRDefault="00983AD5" w:rsidP="00983AD5">
      <w:r w:rsidRPr="009D1E03">
        <w:t>Further details on PRACH are available in our companion paper</w:t>
      </w:r>
      <w:r w:rsidR="0072588E" w:rsidRPr="009D1E03">
        <w:t xml:space="preserve"> </w:t>
      </w:r>
      <w:r w:rsidR="0072588E" w:rsidRPr="009D1E03">
        <w:fldChar w:fldCharType="begin"/>
      </w:r>
      <w:r w:rsidR="0072588E" w:rsidRPr="009D1E03">
        <w:instrText xml:space="preserve"> REF _Ref510450761 \r \h </w:instrText>
      </w:r>
      <w:r w:rsidR="009D1E03">
        <w:instrText xml:space="preserve"> \* MERGEFORMAT </w:instrText>
      </w:r>
      <w:r w:rsidR="0072588E" w:rsidRPr="009D1E03">
        <w:fldChar w:fldCharType="separate"/>
      </w:r>
      <w:r w:rsidR="0072588E" w:rsidRPr="009D1E03">
        <w:t>[4]</w:t>
      </w:r>
      <w:r w:rsidR="0072588E" w:rsidRPr="009D1E03">
        <w:fldChar w:fldCharType="end"/>
      </w:r>
      <w:r w:rsidRPr="009D1E03">
        <w:t>.</w:t>
      </w:r>
    </w:p>
    <w:p w14:paraId="1DEED577" w14:textId="1F4286B9" w:rsidR="00C240BD" w:rsidRDefault="009B4418" w:rsidP="00C240BD">
      <w:pPr>
        <w:pStyle w:val="Heading3"/>
      </w:pPr>
      <w:r>
        <w:t>SRS</w:t>
      </w:r>
    </w:p>
    <w:p w14:paraId="4EDB17BD" w14:textId="29F122F8" w:rsidR="00FE76EF" w:rsidRDefault="006146E5" w:rsidP="00C240BD">
      <w:r>
        <w:t xml:space="preserve">In a companion paper, we consider SRS design aspects for NR-U </w:t>
      </w:r>
      <w:r>
        <w:fldChar w:fldCharType="begin"/>
      </w:r>
      <w:r>
        <w:instrText xml:space="preserve"> REF _Ref510443082 \r \h </w:instrText>
      </w:r>
      <w:r>
        <w:fldChar w:fldCharType="separate"/>
      </w:r>
      <w:r>
        <w:t>[</w:t>
      </w:r>
      <w:r w:rsidR="00C70E16">
        <w:t>5</w:t>
      </w:r>
      <w:r>
        <w:t>]</w:t>
      </w:r>
      <w:r>
        <w:fldChar w:fldCharType="end"/>
      </w:r>
      <w:r>
        <w:t xml:space="preserve">. One of the important use cases for SRS in NR is channel estimation to support reciprocity-based DL precoding. Since it is envisioned that NR-U will be typically deployed in relative small cells and relatively low mobility scenarios, the </w:t>
      </w:r>
      <w:r w:rsidR="00A52836">
        <w:t>design/configuration</w:t>
      </w:r>
      <w:r>
        <w:t xml:space="preserve"> of SRS for </w:t>
      </w:r>
      <w:r w:rsidR="00A52836">
        <w:t xml:space="preserve">such uses cases in </w:t>
      </w:r>
      <w:r>
        <w:t xml:space="preserve">NR-U </w:t>
      </w:r>
      <w:r w:rsidR="00A52836">
        <w:t>should</w:t>
      </w:r>
      <w:r>
        <w:t xml:space="preserve"> take </w:t>
      </w:r>
      <w:r w:rsidR="00101F5A">
        <w:t xml:space="preserve">such </w:t>
      </w:r>
      <w:r>
        <w:t xml:space="preserve">requirements into consideration. </w:t>
      </w:r>
      <w:bookmarkStart w:id="45" w:name="_Toc510449523"/>
      <w:bookmarkStart w:id="46" w:name="_Toc510450970"/>
      <w:bookmarkStart w:id="47" w:name="_Toc510452870"/>
    </w:p>
    <w:bookmarkEnd w:id="45"/>
    <w:bookmarkEnd w:id="46"/>
    <w:bookmarkEnd w:id="47"/>
    <w:p w14:paraId="0027F397" w14:textId="5CDBDDAC" w:rsidR="006146E5" w:rsidRDefault="00A52836" w:rsidP="00C240BD">
      <w:r>
        <w:t xml:space="preserve">As discussed above, an interlaced design is expected to be adopted for other uplink channels, i.e., PUCCH/PUSCH, PRACH. Hence in order to sound the actual portion of the band that is allocated for a </w:t>
      </w:r>
      <w:r>
        <w:lastRenderedPageBreak/>
        <w:t>users’ data/control transmissions, an interlaced design should be supported</w:t>
      </w:r>
      <w:r w:rsidR="00101F5A">
        <w:t xml:space="preserve"> also for SRS</w:t>
      </w:r>
      <w:r>
        <w:t>.</w:t>
      </w:r>
      <w:r w:rsidR="00101F5A">
        <w:t xml:space="preserve"> S</w:t>
      </w:r>
      <w:r>
        <w:t xml:space="preserve">uch a design makes it easier to frequency division multiplex </w:t>
      </w:r>
      <w:r w:rsidR="00101F5A">
        <w:t>different uplink channels/signals of</w:t>
      </w:r>
      <w:r>
        <w:t xml:space="preserve"> different users on different interlaces. Hence we propose</w:t>
      </w:r>
      <w:r w:rsidR="00002A72">
        <w:t xml:space="preserve"> </w:t>
      </w:r>
    </w:p>
    <w:p w14:paraId="7A3D0394" w14:textId="58021DB6" w:rsidR="006146E5" w:rsidRPr="00C240BD" w:rsidRDefault="00905625" w:rsidP="00101F5A">
      <w:pPr>
        <w:pStyle w:val="Proposal"/>
      </w:pPr>
      <w:bookmarkStart w:id="48" w:name="_Toc510449524"/>
      <w:bookmarkStart w:id="49" w:name="_Toc510450971"/>
      <w:bookmarkStart w:id="50" w:name="_Toc510452871"/>
      <w:bookmarkStart w:id="51" w:name="_Toc510731135"/>
      <w:bookmarkStart w:id="52" w:name="_Toc510731382"/>
      <w:bookmarkStart w:id="53" w:name="_Toc510775732"/>
      <w:r>
        <w:t>Since frequency interlaced transmission are expected to be adopted for physical data/control channels for NR-U, at least frequency</w:t>
      </w:r>
      <w:r w:rsidR="00FF014C">
        <w:t xml:space="preserve"> domain </w:t>
      </w:r>
      <w:r>
        <w:t>interlaced SRS should also be supported.</w:t>
      </w:r>
      <w:bookmarkEnd w:id="48"/>
      <w:bookmarkEnd w:id="49"/>
      <w:bookmarkEnd w:id="50"/>
      <w:bookmarkEnd w:id="51"/>
      <w:bookmarkEnd w:id="52"/>
      <w:bookmarkEnd w:id="53"/>
    </w:p>
    <w:p w14:paraId="554BB9B7" w14:textId="6CC0D32F" w:rsidR="009B4418" w:rsidRDefault="009B4418" w:rsidP="009B4418">
      <w:pPr>
        <w:pStyle w:val="Heading2"/>
      </w:pPr>
      <w:r>
        <w:t>Introduction of a Discovery Reference Signal</w:t>
      </w:r>
    </w:p>
    <w:p w14:paraId="69A713EA" w14:textId="784BD7FB" w:rsidR="00566EC7" w:rsidRPr="008B2846" w:rsidRDefault="00566EC7" w:rsidP="00566EC7">
      <w:pPr>
        <w:pStyle w:val="BodyText"/>
      </w:pPr>
      <w:r w:rsidRPr="008B2846">
        <w:t>When operating in unlicensed spectrum it is important to minimize always</w:t>
      </w:r>
      <w:r w:rsidR="008B2846" w:rsidRPr="008B2846">
        <w:t>-</w:t>
      </w:r>
      <w:r w:rsidRPr="008B2846">
        <w:t>on transmissions and to concentrate them in time as much as possible. Minimizing always</w:t>
      </w:r>
      <w:r w:rsidR="008B2846" w:rsidRPr="008B2846">
        <w:t>-</w:t>
      </w:r>
      <w:r w:rsidRPr="008B2846">
        <w:t>on transmissions reduces interference both within a network and towards other networks. Concentrating transmissions in time instead of spreading them out has the benefit that the number of times a node needs to contend for the medium is minimized.</w:t>
      </w:r>
    </w:p>
    <w:p w14:paraId="188AFE30" w14:textId="1C0DFA59" w:rsidR="00566EC7" w:rsidRPr="008B2846" w:rsidRDefault="00566EC7" w:rsidP="008B2846">
      <w:pPr>
        <w:pStyle w:val="Observation"/>
      </w:pPr>
      <w:bookmarkStart w:id="54" w:name="_Ref481497456"/>
      <w:bookmarkStart w:id="55" w:name="_Toc510442758"/>
      <w:bookmarkStart w:id="56" w:name="_Toc510449520"/>
      <w:r w:rsidRPr="008B2846">
        <w:t>For efficient operation in unlicensed spectrum</w:t>
      </w:r>
      <w:r w:rsidR="008B2846" w:rsidRPr="008B2846">
        <w:t xml:space="preserve">, </w:t>
      </w:r>
      <w:r w:rsidRPr="008B2846">
        <w:t>always-on-transmissions should be kept at a minimum and be concentrated in time as much as possible.</w:t>
      </w:r>
      <w:bookmarkEnd w:id="54"/>
      <w:bookmarkEnd w:id="55"/>
      <w:bookmarkEnd w:id="56"/>
    </w:p>
    <w:p w14:paraId="27463AA6" w14:textId="2354EFAF" w:rsidR="00566EC7" w:rsidRPr="008B2846" w:rsidRDefault="00566EC7" w:rsidP="00566EC7">
      <w:pPr>
        <w:pStyle w:val="BodyText"/>
      </w:pPr>
      <w:r w:rsidRPr="008B2846">
        <w:t>To this end, 3GPP introduced a Discovery Reference Signal (DRS) in Rel-13 LAA. The same reasoning can also be applied to NR when operating in unlicensed spectrum (NR-U). Introducing a concept like the Rel-13 Discovery Reference Signal in NR allows channel access rules to be specified for the set of signals/channels that the DRS is composed of, instead of doing it for each signal/channel individually.</w:t>
      </w:r>
    </w:p>
    <w:p w14:paraId="4C44C985" w14:textId="77777777" w:rsidR="00566EC7" w:rsidRPr="008B2846" w:rsidRDefault="00566EC7" w:rsidP="00566EC7">
      <w:pPr>
        <w:pStyle w:val="Proposal"/>
      </w:pPr>
      <w:bookmarkStart w:id="57" w:name="_Toc506553724"/>
      <w:bookmarkStart w:id="58" w:name="_Toc510442772"/>
      <w:bookmarkStart w:id="59" w:name="_Toc510449525"/>
      <w:bookmarkStart w:id="60" w:name="_Toc510450972"/>
      <w:bookmarkStart w:id="61" w:name="_Toc510452872"/>
      <w:bookmarkStart w:id="62" w:name="_Toc510731136"/>
      <w:bookmarkStart w:id="63" w:name="_Toc510731383"/>
      <w:bookmarkStart w:id="64" w:name="_Toc510775733"/>
      <w:r w:rsidRPr="008B2846">
        <w:t>For NR, introduce a concept similar to the Rel-13 Discovery Reference Signal (DRS).</w:t>
      </w:r>
      <w:bookmarkEnd w:id="57"/>
      <w:bookmarkEnd w:id="58"/>
      <w:bookmarkEnd w:id="59"/>
      <w:bookmarkEnd w:id="60"/>
      <w:bookmarkEnd w:id="61"/>
      <w:bookmarkEnd w:id="62"/>
      <w:bookmarkEnd w:id="63"/>
      <w:bookmarkEnd w:id="64"/>
    </w:p>
    <w:p w14:paraId="3C72A9BC" w14:textId="791F4B01" w:rsidR="00566EC7" w:rsidRPr="00B76F33" w:rsidRDefault="00566EC7" w:rsidP="00731E28">
      <w:pPr>
        <w:pStyle w:val="BodyText"/>
      </w:pPr>
      <w:r w:rsidRPr="00B76F33">
        <w:t>Further details on potential content and scheduling of the NR-DRS are available in our companion paper</w:t>
      </w:r>
      <w:r w:rsidR="005E2807" w:rsidRPr="00B76F33">
        <w:t xml:space="preserve"> </w:t>
      </w:r>
      <w:r w:rsidR="005E2807" w:rsidRPr="00B76F33">
        <w:fldChar w:fldCharType="begin"/>
      </w:r>
      <w:r w:rsidR="005E2807" w:rsidRPr="00B76F33">
        <w:instrText xml:space="preserve"> REF _Ref510443136 \r \h </w:instrText>
      </w:r>
      <w:r w:rsidR="00FE76EF">
        <w:instrText xml:space="preserve"> \* MERGEFORMAT </w:instrText>
      </w:r>
      <w:r w:rsidR="005E2807" w:rsidRPr="00B76F33">
        <w:fldChar w:fldCharType="separate"/>
      </w:r>
      <w:r w:rsidR="005E2807" w:rsidRPr="00B76F33">
        <w:t>[5]</w:t>
      </w:r>
      <w:r w:rsidR="005E2807" w:rsidRPr="00B76F33">
        <w:fldChar w:fldCharType="end"/>
      </w:r>
      <w:r w:rsidRPr="00B76F33">
        <w:t>.</w:t>
      </w:r>
    </w:p>
    <w:p w14:paraId="63497920" w14:textId="525D1ECE" w:rsidR="007E7B2C" w:rsidRPr="00B76F33" w:rsidRDefault="007E7B2C" w:rsidP="00B76F33">
      <w:pPr>
        <w:pStyle w:val="Heading2"/>
      </w:pPr>
      <w:r w:rsidRPr="00B76F33">
        <w:t>On DCI Design for Unlicensed Operation</w:t>
      </w:r>
    </w:p>
    <w:p w14:paraId="76D5BFEE" w14:textId="7F973BC9" w:rsidR="00B63E8A" w:rsidRDefault="00B63E8A" w:rsidP="00B63E8A">
      <w:pPr>
        <w:pStyle w:val="BodyText"/>
      </w:pPr>
      <w:r w:rsidRPr="00B76F33">
        <w:t>NR-U UL transmissions are in general subject to LBT. It is important to note that the NR-U design should be flexible enough to allow either gNB or UE to control the LBT parameters depending on the load, deployment scenario, management complexity, etc. All these design goals can be achieved by supporting signalling in NR-U design to instruct UEs regarding the LBT</w:t>
      </w:r>
      <w:r>
        <w:t xml:space="preserve"> option and the corresponding parameters to be used.</w:t>
      </w:r>
      <w:r w:rsidRPr="00B63E8A">
        <w:t xml:space="preserve"> </w:t>
      </w:r>
    </w:p>
    <w:p w14:paraId="7985A10A" w14:textId="11DDEB71" w:rsidR="00441658" w:rsidRPr="00441658" w:rsidRDefault="00441658" w:rsidP="00441658">
      <w:pPr>
        <w:pStyle w:val="Proposal"/>
      </w:pPr>
      <w:bookmarkStart w:id="65" w:name="_Toc510731137"/>
      <w:bookmarkStart w:id="66" w:name="_Toc510731384"/>
      <w:bookmarkStart w:id="67" w:name="_Toc510775734"/>
      <w:r>
        <w:t>UL NR-U DCI needs to support indication of LBT related parameters.</w:t>
      </w:r>
      <w:bookmarkEnd w:id="65"/>
      <w:bookmarkEnd w:id="66"/>
      <w:bookmarkEnd w:id="67"/>
      <w:r>
        <w:t xml:space="preserve"> </w:t>
      </w:r>
    </w:p>
    <w:p w14:paraId="1AC046EB" w14:textId="1F1DAC22" w:rsidR="00B63E8A" w:rsidRPr="00441658" w:rsidRDefault="00B63E8A" w:rsidP="007E7B2C"/>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64CE31AD" w14:textId="77777777" w:rsidR="00644422" w:rsidRDefault="008B2846">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\t "Observation,1" </w:instrText>
      </w:r>
      <w:r>
        <w:rPr>
          <w:b w:val="0"/>
          <w:bCs/>
        </w:rPr>
        <w:fldChar w:fldCharType="separate"/>
      </w:r>
      <w:r w:rsidR="00644422">
        <w:t>Observation 1</w:t>
      </w:r>
      <w:r w:rsidR="00644422">
        <w:rPr>
          <w:rFonts w:asciiTheme="minorHAnsi" w:eastAsiaTheme="minorEastAsia" w:hAnsiTheme="minorHAnsi" w:cstheme="minorBidi"/>
          <w:b w:val="0"/>
          <w:sz w:val="22"/>
          <w:lang w:eastAsia="en-US"/>
        </w:rPr>
        <w:tab/>
      </w:r>
      <w:r w:rsidR="00644422">
        <w:t>For efficient operation in unlicensed spectrum, always-on-transmissions should be kept at a minimum and be concentrated in time as much as possible.</w:t>
      </w:r>
    </w:p>
    <w:p w14:paraId="52E627AF" w14:textId="7CFBD959" w:rsidR="002611E7" w:rsidRPr="00464932" w:rsidRDefault="008B2846" w:rsidP="00E5689D">
      <w:pPr>
        <w:pStyle w:val="BodyText"/>
        <w:rPr>
          <w:b/>
          <w:bCs/>
        </w:rPr>
      </w:pPr>
      <w:r>
        <w:rPr>
          <w:b/>
          <w:bCs/>
        </w:rPr>
        <w:fldChar w:fldCharType="end"/>
      </w:r>
    </w:p>
    <w:p w14:paraId="23295E8E" w14:textId="5115E8E7" w:rsidR="00B76F33" w:rsidRDefault="002611E7" w:rsidP="00B76F33">
      <w:pPr>
        <w:pStyle w:val="BodyText"/>
      </w:pPr>
      <w:r>
        <w:t>We make the following proposals</w:t>
      </w:r>
      <w:r w:rsidR="00B76F33">
        <w:t>:</w:t>
      </w:r>
    </w:p>
    <w:p w14:paraId="42AFB0AD" w14:textId="77777777" w:rsidR="00905625" w:rsidRDefault="0054355F">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\p " " \t "Proposal,1" </w:instrText>
      </w:r>
      <w:r>
        <w:rPr>
          <w:b w:val="0"/>
          <w:bCs/>
        </w:rPr>
        <w:fldChar w:fldCharType="separate"/>
      </w:r>
      <w:r w:rsidR="00905625">
        <w:t>Proposal 1</w:t>
      </w:r>
      <w:r w:rsidR="00905625">
        <w:rPr>
          <w:rFonts w:asciiTheme="minorHAnsi" w:eastAsiaTheme="minorEastAsia" w:hAnsiTheme="minorHAnsi" w:cstheme="minorBidi"/>
          <w:b w:val="0"/>
          <w:sz w:val="22"/>
          <w:lang w:eastAsia="en-US"/>
        </w:rPr>
        <w:tab/>
      </w:r>
      <w:r w:rsidR="00905625">
        <w:t>Support a frequency domain interlaced structure for uplink physical channels and reference signals for NR-U</w:t>
      </w:r>
    </w:p>
    <w:p w14:paraId="6919B27D" w14:textId="77777777" w:rsidR="00905625" w:rsidRDefault="00905625">
      <w:pPr>
        <w:pStyle w:val="TOC1"/>
        <w:rPr>
          <w:rFonts w:asciiTheme="minorHAnsi" w:eastAsiaTheme="minorEastAsia" w:hAnsiTheme="minorHAnsi" w:cstheme="minorBidi"/>
          <w:b w:val="0"/>
          <w:sz w:val="22"/>
          <w:lang w:eastAsia="en-US"/>
        </w:rPr>
      </w:pPr>
      <w:r w:rsidRPr="00AE7711">
        <w:rPr>
          <w:spacing w:val="2"/>
        </w:rPr>
        <w:t>Proposal 2</w:t>
      </w:r>
      <w:r>
        <w:rPr>
          <w:rFonts w:asciiTheme="minorHAnsi" w:eastAsiaTheme="minorEastAsia" w:hAnsiTheme="minorHAnsi" w:cstheme="minorBidi"/>
          <w:b w:val="0"/>
          <w:sz w:val="22"/>
          <w:lang w:eastAsia="en-US"/>
        </w:rPr>
        <w:tab/>
      </w:r>
      <w:r>
        <w:t xml:space="preserve">An interlaced design for NR-U should balance the trade-offs between supporting maximum transmit power, minimizing signalling overhead, enabling flexible resource allocation, and ensuring suitability for different uplink </w:t>
      </w:r>
      <w:r w:rsidRPr="00AE7711">
        <w:rPr>
          <w:spacing w:val="2"/>
        </w:rPr>
        <w:t>physical channels and reference signals.</w:t>
      </w:r>
    </w:p>
    <w:p w14:paraId="19E156DB" w14:textId="77777777" w:rsidR="00905625" w:rsidRDefault="0090562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Support a frequency domain interlaced structure for PUCCH in NR-U</w:t>
      </w:r>
    </w:p>
    <w:p w14:paraId="74CDC32E" w14:textId="77777777" w:rsidR="00905625" w:rsidRDefault="0090562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NR-U PUCCH does not support frequency hopping.</w:t>
      </w:r>
    </w:p>
    <w:p w14:paraId="14C5C1B0" w14:textId="77777777" w:rsidR="00905625" w:rsidRDefault="00905625">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For PUCCH in NR-U, maintaining a user-multiplexing level similar to NR is a priority.</w:t>
      </w:r>
    </w:p>
    <w:p w14:paraId="01A427BA" w14:textId="77777777" w:rsidR="00905625" w:rsidRDefault="00905625">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Support short PRACH sequence length for NR-U</w:t>
      </w:r>
    </w:p>
    <w:p w14:paraId="1194B32F" w14:textId="77777777" w:rsidR="00905625" w:rsidRDefault="00905625">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Support a frequency domain interlaced structure for PRACH for NR-U.</w:t>
      </w:r>
    </w:p>
    <w:p w14:paraId="10AAD6CA" w14:textId="77777777" w:rsidR="00905625" w:rsidRDefault="00905625">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For sub-6GHz NR-U operation, support 60 kHz SCS for PRACH preamble transmission.</w:t>
      </w:r>
    </w:p>
    <w:p w14:paraId="04FEB1A8" w14:textId="77777777" w:rsidR="00905625" w:rsidRDefault="00905625">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Since frequency interlaced transmission are expected to be adopted for physical data/control channels for NR-U, at least frequency domain interlaced SRS should also be supported.</w:t>
      </w:r>
    </w:p>
    <w:p w14:paraId="39F22095" w14:textId="77777777" w:rsidR="00905625" w:rsidRDefault="00905625">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For NR, introduce a concept similar to the Rel-13 Discovery Reference Signal (DRS).</w:t>
      </w:r>
    </w:p>
    <w:p w14:paraId="18D8CC36" w14:textId="77777777" w:rsidR="00905625" w:rsidRDefault="00905625">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UL NR-U DCI needs to support indication of LBT related parameters.</w:t>
      </w:r>
    </w:p>
    <w:p w14:paraId="60B357CF" w14:textId="7E133A47" w:rsidR="00C01F33" w:rsidRPr="00790B99" w:rsidRDefault="0054355F" w:rsidP="0054355F">
      <w:pPr>
        <w:pStyle w:val="BodyText"/>
        <w:rPr>
          <w:b/>
          <w:bCs/>
        </w:rPr>
      </w:pPr>
      <w:r>
        <w:rPr>
          <w:b/>
          <w:bCs/>
        </w:rPr>
        <w:fldChar w:fldCharType="end"/>
      </w:r>
    </w:p>
    <w:p w14:paraId="5B3C850D" w14:textId="77777777" w:rsidR="00F507D1" w:rsidRPr="00CE0424" w:rsidRDefault="00F507D1" w:rsidP="00CE0424">
      <w:pPr>
        <w:pStyle w:val="Heading1"/>
      </w:pPr>
      <w:bookmarkStart w:id="68" w:name="_In-sequence_SDU_delivery"/>
      <w:bookmarkEnd w:id="68"/>
      <w:r w:rsidRPr="00CE0424">
        <w:t>References</w:t>
      </w:r>
    </w:p>
    <w:p w14:paraId="3BC9304B" w14:textId="20747E55" w:rsidR="003A7EF3" w:rsidRDefault="00384499" w:rsidP="00384499">
      <w:pPr>
        <w:pStyle w:val="BodyText"/>
        <w:numPr>
          <w:ilvl w:val="0"/>
          <w:numId w:val="18"/>
        </w:numPr>
        <w:rPr>
          <w:szCs w:val="22"/>
          <w:lang w:eastAsia="ja-JP"/>
        </w:rPr>
      </w:pPr>
      <w:bookmarkStart w:id="69" w:name="_Ref479756368"/>
      <w:bookmarkStart w:id="70" w:name="_Ref481486326"/>
      <w:r w:rsidRPr="00F66897">
        <w:rPr>
          <w:szCs w:val="22"/>
        </w:rPr>
        <w:t>RP-172021, “</w:t>
      </w:r>
      <w:r w:rsidRPr="002B03FD">
        <w:rPr>
          <w:szCs w:val="22"/>
        </w:rPr>
        <w:t>New SID on NR-based Access to Unlicensed Spectrum</w:t>
      </w:r>
      <w:r w:rsidR="00A33C41">
        <w:rPr>
          <w:szCs w:val="22"/>
        </w:rPr>
        <w:t>,</w:t>
      </w:r>
      <w:r w:rsidRPr="002B03FD">
        <w:rPr>
          <w:szCs w:val="22"/>
        </w:rPr>
        <w:t>” Qualcomm</w:t>
      </w:r>
      <w:bookmarkEnd w:id="69"/>
      <w:bookmarkEnd w:id="70"/>
    </w:p>
    <w:p w14:paraId="39B88EC1" w14:textId="77777777" w:rsidR="00A33C41" w:rsidRPr="00477E52" w:rsidRDefault="00A33C41" w:rsidP="00A33C41">
      <w:pPr>
        <w:pStyle w:val="BodyText"/>
        <w:numPr>
          <w:ilvl w:val="0"/>
          <w:numId w:val="18"/>
        </w:numPr>
        <w:rPr>
          <w:szCs w:val="22"/>
          <w:lang w:eastAsia="ja-JP"/>
        </w:rPr>
      </w:pPr>
      <w:bookmarkStart w:id="71" w:name="_Ref506538725"/>
      <w:r w:rsidRPr="00477E52">
        <w:rPr>
          <w:szCs w:val="22"/>
          <w:lang w:eastAsia="ja-JP"/>
        </w:rPr>
        <w:t>ETSI EN 301 893, Broadband Radio Access Networks (BRAN); 5GHz high performance RLAN; Harmonized EN covering the essential requirements of article 3.2 of the R&amp;TTE Directive, v1.8.1, Mar. 2015.</w:t>
      </w:r>
      <w:bookmarkEnd w:id="71"/>
    </w:p>
    <w:p w14:paraId="418F2371" w14:textId="2F19D73C" w:rsidR="005E2807" w:rsidRPr="00B76F33" w:rsidRDefault="00A33C41" w:rsidP="005E2807">
      <w:pPr>
        <w:pStyle w:val="BodyText"/>
        <w:numPr>
          <w:ilvl w:val="0"/>
          <w:numId w:val="18"/>
        </w:numPr>
        <w:rPr>
          <w:szCs w:val="22"/>
          <w:lang w:eastAsia="ja-JP"/>
        </w:rPr>
      </w:pPr>
      <w:bookmarkStart w:id="72" w:name="_Ref506538700"/>
      <w:bookmarkStart w:id="73" w:name="_Ref510440098"/>
      <w:r w:rsidRPr="00B76F33">
        <w:rPr>
          <w:szCs w:val="22"/>
        </w:rPr>
        <w:t>R1-18</w:t>
      </w:r>
      <w:r w:rsidR="00B76F33" w:rsidRPr="00B76F33">
        <w:rPr>
          <w:szCs w:val="22"/>
        </w:rPr>
        <w:t>05018</w:t>
      </w:r>
      <w:r w:rsidRPr="00B76F33">
        <w:rPr>
          <w:szCs w:val="22"/>
        </w:rPr>
        <w:t xml:space="preserve">, “On </w:t>
      </w:r>
      <w:r w:rsidR="00731E28" w:rsidRPr="00B76F33">
        <w:rPr>
          <w:szCs w:val="22"/>
        </w:rPr>
        <w:t>i</w:t>
      </w:r>
      <w:r w:rsidRPr="00B76F33">
        <w:rPr>
          <w:szCs w:val="22"/>
        </w:rPr>
        <w:t xml:space="preserve">nterlace </w:t>
      </w:r>
      <w:r w:rsidR="00731E28" w:rsidRPr="00B76F33">
        <w:rPr>
          <w:szCs w:val="22"/>
        </w:rPr>
        <w:t>d</w:t>
      </w:r>
      <w:r w:rsidRPr="00B76F33">
        <w:rPr>
          <w:szCs w:val="22"/>
        </w:rPr>
        <w:t xml:space="preserve">esign for NR-U </w:t>
      </w:r>
      <w:r w:rsidR="00731E28" w:rsidRPr="00B76F33">
        <w:rPr>
          <w:szCs w:val="22"/>
        </w:rPr>
        <w:t>u</w:t>
      </w:r>
      <w:r w:rsidRPr="00B76F33">
        <w:rPr>
          <w:szCs w:val="22"/>
        </w:rPr>
        <w:t>plink,” Ericsson</w:t>
      </w:r>
      <w:bookmarkEnd w:id="72"/>
      <w:r w:rsidRPr="00B76F33">
        <w:rPr>
          <w:szCs w:val="22"/>
        </w:rPr>
        <w:t>, RAN1#92b, April 2018.</w:t>
      </w:r>
      <w:bookmarkEnd w:id="73"/>
    </w:p>
    <w:p w14:paraId="00A62399" w14:textId="4D173E57" w:rsidR="0072588E" w:rsidRPr="00B76F33" w:rsidRDefault="0072588E" w:rsidP="005E2807">
      <w:pPr>
        <w:pStyle w:val="BodyText"/>
        <w:numPr>
          <w:ilvl w:val="0"/>
          <w:numId w:val="18"/>
        </w:numPr>
        <w:rPr>
          <w:szCs w:val="22"/>
          <w:lang w:eastAsia="ja-JP"/>
        </w:rPr>
      </w:pPr>
      <w:bookmarkStart w:id="74" w:name="_Ref510450761"/>
      <w:r w:rsidRPr="00B76F33">
        <w:rPr>
          <w:szCs w:val="22"/>
          <w:lang w:eastAsia="ja-JP"/>
        </w:rPr>
        <w:t>R1-</w:t>
      </w:r>
      <w:r w:rsidR="00B76F33" w:rsidRPr="00B76F33">
        <w:rPr>
          <w:szCs w:val="22"/>
          <w:lang w:eastAsia="ja-JP"/>
        </w:rPr>
        <w:t>1805017</w:t>
      </w:r>
      <w:r w:rsidRPr="00B76F33">
        <w:rPr>
          <w:szCs w:val="22"/>
          <w:lang w:eastAsia="ja-JP"/>
        </w:rPr>
        <w:t xml:space="preserve">, “On PRACH for NR in unlicensed spectrum,” </w:t>
      </w:r>
      <w:r w:rsidRPr="00B76F33">
        <w:rPr>
          <w:szCs w:val="22"/>
        </w:rPr>
        <w:t>Ericsson, RAN1#92b, April 2018.</w:t>
      </w:r>
      <w:bookmarkEnd w:id="74"/>
    </w:p>
    <w:p w14:paraId="2FAE91E3" w14:textId="185646C3" w:rsidR="00731E28" w:rsidRPr="00B76F33" w:rsidRDefault="005E2807" w:rsidP="005E2807">
      <w:pPr>
        <w:pStyle w:val="BodyText"/>
        <w:numPr>
          <w:ilvl w:val="0"/>
          <w:numId w:val="18"/>
        </w:numPr>
        <w:rPr>
          <w:szCs w:val="22"/>
          <w:lang w:eastAsia="ja-JP"/>
        </w:rPr>
      </w:pPr>
      <w:bookmarkStart w:id="75" w:name="_Ref510443082"/>
      <w:r w:rsidRPr="00B76F33">
        <w:rPr>
          <w:szCs w:val="22"/>
        </w:rPr>
        <w:t>R1-</w:t>
      </w:r>
      <w:r w:rsidR="00B76F33" w:rsidRPr="00B76F33">
        <w:rPr>
          <w:szCs w:val="22"/>
        </w:rPr>
        <w:t>1805012</w:t>
      </w:r>
      <w:r w:rsidRPr="00B76F33">
        <w:rPr>
          <w:szCs w:val="22"/>
        </w:rPr>
        <w:t>, “On SRS design for NR unlicensed operation,” Ericsson, RAN1#92b, April 2018.</w:t>
      </w:r>
      <w:bookmarkEnd w:id="75"/>
    </w:p>
    <w:p w14:paraId="0FB8B1FB" w14:textId="5B46544E" w:rsidR="005E2807" w:rsidRPr="00B76F33" w:rsidRDefault="005E2807" w:rsidP="005E2807">
      <w:pPr>
        <w:pStyle w:val="BodyText"/>
        <w:numPr>
          <w:ilvl w:val="0"/>
          <w:numId w:val="18"/>
        </w:numPr>
        <w:rPr>
          <w:szCs w:val="22"/>
          <w:lang w:eastAsia="ja-JP"/>
        </w:rPr>
      </w:pPr>
      <w:bookmarkStart w:id="76" w:name="_Ref510443136"/>
      <w:r w:rsidRPr="00B76F33">
        <w:rPr>
          <w:szCs w:val="22"/>
        </w:rPr>
        <w:t>R1-</w:t>
      </w:r>
      <w:r w:rsidR="00B76F33" w:rsidRPr="00B76F33">
        <w:rPr>
          <w:szCs w:val="22"/>
        </w:rPr>
        <w:t>1805013</w:t>
      </w:r>
      <w:r w:rsidRPr="00B76F33">
        <w:rPr>
          <w:szCs w:val="22"/>
        </w:rPr>
        <w:t>, “On the introduction of a Discovery Reference Signal,” Ericsson, RAN1#92b, April 2018.</w:t>
      </w:r>
      <w:bookmarkEnd w:id="76"/>
    </w:p>
    <w:sectPr w:rsidR="005E2807" w:rsidRPr="00B76F33"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74FE9" w14:textId="77777777" w:rsidR="009C7918" w:rsidRDefault="009C7918">
      <w:r>
        <w:separator/>
      </w:r>
    </w:p>
  </w:endnote>
  <w:endnote w:type="continuationSeparator" w:id="0">
    <w:p w14:paraId="21A2DCB2" w14:textId="77777777" w:rsidR="009C7918" w:rsidRDefault="009C7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E0FDC" w14:textId="77777777" w:rsidR="009C7918" w:rsidRDefault="009C7918">
      <w:r>
        <w:separator/>
      </w:r>
    </w:p>
  </w:footnote>
  <w:footnote w:type="continuationSeparator" w:id="0">
    <w:p w14:paraId="3CC7273C" w14:textId="77777777" w:rsidR="009C7918" w:rsidRDefault="009C79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D4A5704"/>
    <w:multiLevelType w:val="hybridMultilevel"/>
    <w:tmpl w:val="D97E55BA"/>
    <w:lvl w:ilvl="0" w:tplc="44FABBD4">
      <w:numFmt w:val="bullet"/>
      <w:lvlText w:val="–"/>
      <w:lvlJc w:val="left"/>
      <w:pPr>
        <w:ind w:left="2061" w:hanging="360"/>
      </w:pPr>
      <w:rPr>
        <w:rFonts w:ascii="Ericsson Capital TT" w:hAnsi="Ericsson Capital TT"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5" w15:restartNumberingAfterBreak="0">
    <w:nsid w:val="26CF0F43"/>
    <w:multiLevelType w:val="hybridMultilevel"/>
    <w:tmpl w:val="DEC83EF2"/>
    <w:lvl w:ilvl="0" w:tplc="0409000F">
      <w:start w:val="1"/>
      <w:numFmt w:val="decimal"/>
      <w:lvlText w:val="%1."/>
      <w:lvlJc w:val="left"/>
      <w:pPr>
        <w:ind w:left="3272" w:hanging="360"/>
      </w:pPr>
      <w:rPr>
        <w:rFonts w:hint="default"/>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6" w15:restartNumberingAfterBreak="0">
    <w:nsid w:val="29D33492"/>
    <w:multiLevelType w:val="hybridMultilevel"/>
    <w:tmpl w:val="6160F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9B51C7"/>
    <w:multiLevelType w:val="hybridMultilevel"/>
    <w:tmpl w:val="FD288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96264A"/>
    <w:multiLevelType w:val="hybridMultilevel"/>
    <w:tmpl w:val="4462CA4E"/>
    <w:lvl w:ilvl="0" w:tplc="13DE715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616F9E"/>
    <w:multiLevelType w:val="hybridMultilevel"/>
    <w:tmpl w:val="B8984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32F261B"/>
    <w:multiLevelType w:val="hybridMultilevel"/>
    <w:tmpl w:val="3D1A9C48"/>
    <w:lvl w:ilvl="0" w:tplc="98A8FE50">
      <w:start w:val="1"/>
      <w:numFmt w:val="decimal"/>
      <w:lvlText w:val="Observation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B3764C"/>
    <w:multiLevelType w:val="hybridMultilevel"/>
    <w:tmpl w:val="14742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0"/>
  </w:num>
  <w:num w:numId="15">
    <w:abstractNumId w:val="11"/>
  </w:num>
  <w:num w:numId="16">
    <w:abstractNumId w:val="6"/>
  </w:num>
  <w:num w:numId="17">
    <w:abstractNumId w:val="18"/>
  </w:num>
  <w:num w:numId="18">
    <w:abstractNumId w:val="20"/>
  </w:num>
  <w:num w:numId="19">
    <w:abstractNumId w:val="5"/>
  </w:num>
  <w:num w:numId="20">
    <w:abstractNumId w:val="23"/>
  </w:num>
  <w:num w:numId="21">
    <w:abstractNumId w:val="15"/>
  </w:num>
  <w:num w:numId="22">
    <w:abstractNumId w:val="2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4"/>
  </w:num>
  <w:num w:numId="26">
    <w:abstractNumId w:val="12"/>
  </w:num>
  <w:num w:numId="2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2A72"/>
    <w:rsid w:val="00003F5E"/>
    <w:rsid w:val="00006446"/>
    <w:rsid w:val="00006896"/>
    <w:rsid w:val="00007CDC"/>
    <w:rsid w:val="00011B28"/>
    <w:rsid w:val="00015D15"/>
    <w:rsid w:val="0002564D"/>
    <w:rsid w:val="00025ECA"/>
    <w:rsid w:val="000274C7"/>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1B0F"/>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1F5A"/>
    <w:rsid w:val="001062FB"/>
    <w:rsid w:val="001063E6"/>
    <w:rsid w:val="00113CF4"/>
    <w:rsid w:val="001153EA"/>
    <w:rsid w:val="00115643"/>
    <w:rsid w:val="00116765"/>
    <w:rsid w:val="001219F5"/>
    <w:rsid w:val="00121A20"/>
    <w:rsid w:val="0012377F"/>
    <w:rsid w:val="00124314"/>
    <w:rsid w:val="00126B4A"/>
    <w:rsid w:val="0013002D"/>
    <w:rsid w:val="00132FD0"/>
    <w:rsid w:val="001344C0"/>
    <w:rsid w:val="001346FA"/>
    <w:rsid w:val="00135252"/>
    <w:rsid w:val="00135F6D"/>
    <w:rsid w:val="00137AB5"/>
    <w:rsid w:val="00137F0B"/>
    <w:rsid w:val="001468F5"/>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A70FD"/>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6E33"/>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4499"/>
    <w:rsid w:val="00385BF0"/>
    <w:rsid w:val="003939FF"/>
    <w:rsid w:val="003A0E41"/>
    <w:rsid w:val="003A2223"/>
    <w:rsid w:val="003A2A0F"/>
    <w:rsid w:val="003A45A1"/>
    <w:rsid w:val="003A5B0A"/>
    <w:rsid w:val="003A6BAC"/>
    <w:rsid w:val="003A7EF3"/>
    <w:rsid w:val="003B159C"/>
    <w:rsid w:val="003B369F"/>
    <w:rsid w:val="003B36A3"/>
    <w:rsid w:val="003B5FB1"/>
    <w:rsid w:val="003B7FE5"/>
    <w:rsid w:val="003C11C8"/>
    <w:rsid w:val="003C2702"/>
    <w:rsid w:val="003C7806"/>
    <w:rsid w:val="003D109F"/>
    <w:rsid w:val="003D1E99"/>
    <w:rsid w:val="003D2478"/>
    <w:rsid w:val="003D3C45"/>
    <w:rsid w:val="003D3EB3"/>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658"/>
    <w:rsid w:val="00441782"/>
    <w:rsid w:val="00441A92"/>
    <w:rsid w:val="00444F56"/>
    <w:rsid w:val="00446488"/>
    <w:rsid w:val="004517AA"/>
    <w:rsid w:val="00452CAC"/>
    <w:rsid w:val="00457565"/>
    <w:rsid w:val="00457B71"/>
    <w:rsid w:val="00464932"/>
    <w:rsid w:val="00465ABC"/>
    <w:rsid w:val="004669E2"/>
    <w:rsid w:val="00470C31"/>
    <w:rsid w:val="004734D0"/>
    <w:rsid w:val="0047556B"/>
    <w:rsid w:val="00477768"/>
    <w:rsid w:val="00485BD9"/>
    <w:rsid w:val="00492BC5"/>
    <w:rsid w:val="004964F1"/>
    <w:rsid w:val="004A16BC"/>
    <w:rsid w:val="004A2B94"/>
    <w:rsid w:val="004B6496"/>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355F"/>
    <w:rsid w:val="00546970"/>
    <w:rsid w:val="00554192"/>
    <w:rsid w:val="00554E19"/>
    <w:rsid w:val="00560B2C"/>
    <w:rsid w:val="0056121F"/>
    <w:rsid w:val="00566EC7"/>
    <w:rsid w:val="005719B2"/>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2807"/>
    <w:rsid w:val="005E385F"/>
    <w:rsid w:val="005E4F8F"/>
    <w:rsid w:val="005E5B81"/>
    <w:rsid w:val="005F2CB1"/>
    <w:rsid w:val="005F3025"/>
    <w:rsid w:val="005F618C"/>
    <w:rsid w:val="005F70BD"/>
    <w:rsid w:val="0060283C"/>
    <w:rsid w:val="00604F14"/>
    <w:rsid w:val="00611B83"/>
    <w:rsid w:val="00613257"/>
    <w:rsid w:val="006146E5"/>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422"/>
    <w:rsid w:val="0064624E"/>
    <w:rsid w:val="00650AB9"/>
    <w:rsid w:val="00655733"/>
    <w:rsid w:val="00655ACD"/>
    <w:rsid w:val="00656A92"/>
    <w:rsid w:val="00656DDE"/>
    <w:rsid w:val="0066011D"/>
    <w:rsid w:val="006607C0"/>
    <w:rsid w:val="006613A6"/>
    <w:rsid w:val="006627A2"/>
    <w:rsid w:val="006634E6"/>
    <w:rsid w:val="006655EE"/>
    <w:rsid w:val="00667EE7"/>
    <w:rsid w:val="006704B3"/>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2588E"/>
    <w:rsid w:val="00726EA6"/>
    <w:rsid w:val="00727208"/>
    <w:rsid w:val="00727680"/>
    <w:rsid w:val="00731E28"/>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418A"/>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E7B2C"/>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AB5"/>
    <w:rsid w:val="00894A88"/>
    <w:rsid w:val="00895386"/>
    <w:rsid w:val="008A21FF"/>
    <w:rsid w:val="008A2CE2"/>
    <w:rsid w:val="008A30AC"/>
    <w:rsid w:val="008A44B8"/>
    <w:rsid w:val="008A51A8"/>
    <w:rsid w:val="008A54C7"/>
    <w:rsid w:val="008A77D8"/>
    <w:rsid w:val="008B0483"/>
    <w:rsid w:val="008B120C"/>
    <w:rsid w:val="008B2846"/>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4B6"/>
    <w:rsid w:val="008F1EAB"/>
    <w:rsid w:val="008F33DC"/>
    <w:rsid w:val="008F477F"/>
    <w:rsid w:val="00902350"/>
    <w:rsid w:val="0090336B"/>
    <w:rsid w:val="009053AA"/>
    <w:rsid w:val="00905625"/>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76D5F"/>
    <w:rsid w:val="00980477"/>
    <w:rsid w:val="00983AD5"/>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418"/>
    <w:rsid w:val="009B4DF4"/>
    <w:rsid w:val="009B564E"/>
    <w:rsid w:val="009B7E87"/>
    <w:rsid w:val="009C403E"/>
    <w:rsid w:val="009C6832"/>
    <w:rsid w:val="009C7918"/>
    <w:rsid w:val="009D1E03"/>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07DB"/>
    <w:rsid w:val="00A2193B"/>
    <w:rsid w:val="00A2351A"/>
    <w:rsid w:val="00A264A9"/>
    <w:rsid w:val="00A27785"/>
    <w:rsid w:val="00A30187"/>
    <w:rsid w:val="00A33C41"/>
    <w:rsid w:val="00A3448A"/>
    <w:rsid w:val="00A36297"/>
    <w:rsid w:val="00A41E2B"/>
    <w:rsid w:val="00A45B74"/>
    <w:rsid w:val="00A52836"/>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0D6D"/>
    <w:rsid w:val="00B0201C"/>
    <w:rsid w:val="00B02AA9"/>
    <w:rsid w:val="00B02FA3"/>
    <w:rsid w:val="00B03374"/>
    <w:rsid w:val="00B05084"/>
    <w:rsid w:val="00B1415F"/>
    <w:rsid w:val="00B157F9"/>
    <w:rsid w:val="00B20256"/>
    <w:rsid w:val="00B20D09"/>
    <w:rsid w:val="00B2763F"/>
    <w:rsid w:val="00B27AAC"/>
    <w:rsid w:val="00B30929"/>
    <w:rsid w:val="00B372AA"/>
    <w:rsid w:val="00B40445"/>
    <w:rsid w:val="00B41888"/>
    <w:rsid w:val="00B45A52"/>
    <w:rsid w:val="00B46175"/>
    <w:rsid w:val="00B616F0"/>
    <w:rsid w:val="00B63E8A"/>
    <w:rsid w:val="00B664C7"/>
    <w:rsid w:val="00B739F6"/>
    <w:rsid w:val="00B75A51"/>
    <w:rsid w:val="00B76F33"/>
    <w:rsid w:val="00B81A6C"/>
    <w:rsid w:val="00B85DE5"/>
    <w:rsid w:val="00B90F73"/>
    <w:rsid w:val="00B93B59"/>
    <w:rsid w:val="00B9406A"/>
    <w:rsid w:val="00B975A9"/>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6FE9"/>
    <w:rsid w:val="00C240BD"/>
    <w:rsid w:val="00C279B5"/>
    <w:rsid w:val="00C27C45"/>
    <w:rsid w:val="00C3719D"/>
    <w:rsid w:val="00C54995"/>
    <w:rsid w:val="00C54D41"/>
    <w:rsid w:val="00C60783"/>
    <w:rsid w:val="00C64672"/>
    <w:rsid w:val="00C70697"/>
    <w:rsid w:val="00C70E16"/>
    <w:rsid w:val="00C72EF4"/>
    <w:rsid w:val="00C75D2F"/>
    <w:rsid w:val="00C767BE"/>
    <w:rsid w:val="00C76E3C"/>
    <w:rsid w:val="00C81568"/>
    <w:rsid w:val="00C86DA5"/>
    <w:rsid w:val="00C87563"/>
    <w:rsid w:val="00C9027A"/>
    <w:rsid w:val="00C9068E"/>
    <w:rsid w:val="00C93C4B"/>
    <w:rsid w:val="00C944AB"/>
    <w:rsid w:val="00C956BC"/>
    <w:rsid w:val="00C95907"/>
    <w:rsid w:val="00C95B40"/>
    <w:rsid w:val="00CA1068"/>
    <w:rsid w:val="00CA1ED8"/>
    <w:rsid w:val="00CA2417"/>
    <w:rsid w:val="00CA6697"/>
    <w:rsid w:val="00CB1F63"/>
    <w:rsid w:val="00CB4858"/>
    <w:rsid w:val="00CB7170"/>
    <w:rsid w:val="00CC040E"/>
    <w:rsid w:val="00CC111F"/>
    <w:rsid w:val="00CC2011"/>
    <w:rsid w:val="00CC3EA0"/>
    <w:rsid w:val="00CC578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7A83"/>
    <w:rsid w:val="00D546FF"/>
    <w:rsid w:val="00D55AD5"/>
    <w:rsid w:val="00D576CA"/>
    <w:rsid w:val="00D61AF5"/>
    <w:rsid w:val="00D652B5"/>
    <w:rsid w:val="00D66155"/>
    <w:rsid w:val="00D708B0"/>
    <w:rsid w:val="00D77B1D"/>
    <w:rsid w:val="00D8021F"/>
    <w:rsid w:val="00D80383"/>
    <w:rsid w:val="00D823C6"/>
    <w:rsid w:val="00D8338D"/>
    <w:rsid w:val="00D86CA3"/>
    <w:rsid w:val="00D871CE"/>
    <w:rsid w:val="00D9196D"/>
    <w:rsid w:val="00D92503"/>
    <w:rsid w:val="00D92982"/>
    <w:rsid w:val="00D95044"/>
    <w:rsid w:val="00DA305E"/>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3AD"/>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6A86"/>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B35"/>
    <w:rsid w:val="00F96985"/>
    <w:rsid w:val="00F97838"/>
    <w:rsid w:val="00FA2BB3"/>
    <w:rsid w:val="00FB09DB"/>
    <w:rsid w:val="00FB4417"/>
    <w:rsid w:val="00FB4C80"/>
    <w:rsid w:val="00FB6A6A"/>
    <w:rsid w:val="00FC0500"/>
    <w:rsid w:val="00FC7429"/>
    <w:rsid w:val="00FD07F6"/>
    <w:rsid w:val="00FD1EC8"/>
    <w:rsid w:val="00FD47ED"/>
    <w:rsid w:val="00FD74DB"/>
    <w:rsid w:val="00FD7660"/>
    <w:rsid w:val="00FE0655"/>
    <w:rsid w:val="00FE2365"/>
    <w:rsid w:val="00FE37D7"/>
    <w:rsid w:val="00FE4C7B"/>
    <w:rsid w:val="00FE7336"/>
    <w:rsid w:val="00FE76EF"/>
    <w:rsid w:val="00FE787C"/>
    <w:rsid w:val="00FF014C"/>
    <w:rsid w:val="00FF119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002D"/>
    <w:rPr>
      <w:rFonts w:eastAsiaTheme="minorHAnsi"/>
    </w:rPr>
  </w:style>
  <w:style w:type="paragraph" w:styleId="Heading1">
    <w:name w:val="heading 1"/>
    <w:next w:val="Normal"/>
    <w:link w:val="Heading1Char"/>
    <w:qFormat/>
    <w:rsid w:val="0090562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905625"/>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905625"/>
    <w:pPr>
      <w:numPr>
        <w:ilvl w:val="2"/>
      </w:numPr>
      <w:spacing w:before="120"/>
      <w:outlineLvl w:val="2"/>
    </w:pPr>
    <w:rPr>
      <w:sz w:val="24"/>
      <w:szCs w:val="28"/>
    </w:rPr>
  </w:style>
  <w:style w:type="paragraph" w:styleId="Heading4">
    <w:name w:val="heading 4"/>
    <w:basedOn w:val="Heading3"/>
    <w:next w:val="Normal"/>
    <w:qFormat/>
    <w:rsid w:val="00905625"/>
    <w:pPr>
      <w:numPr>
        <w:ilvl w:val="3"/>
      </w:numPr>
      <w:outlineLvl w:val="3"/>
    </w:pPr>
    <w:rPr>
      <w:szCs w:val="24"/>
    </w:rPr>
  </w:style>
  <w:style w:type="paragraph" w:styleId="Heading5">
    <w:name w:val="heading 5"/>
    <w:basedOn w:val="Heading4"/>
    <w:next w:val="Normal"/>
    <w:qFormat/>
    <w:rsid w:val="00905625"/>
    <w:pPr>
      <w:numPr>
        <w:ilvl w:val="4"/>
      </w:numPr>
      <w:outlineLvl w:val="4"/>
    </w:pPr>
    <w:rPr>
      <w:sz w:val="22"/>
      <w:szCs w:val="22"/>
    </w:rPr>
  </w:style>
  <w:style w:type="paragraph" w:styleId="Heading6">
    <w:name w:val="heading 6"/>
    <w:basedOn w:val="Normal"/>
    <w:next w:val="Normal"/>
    <w:qFormat/>
    <w:rsid w:val="00905625"/>
    <w:pPr>
      <w:keepNext/>
      <w:keepLines/>
      <w:numPr>
        <w:ilvl w:val="5"/>
        <w:numId w:val="1"/>
      </w:numPr>
      <w:spacing w:before="120"/>
      <w:outlineLvl w:val="5"/>
    </w:pPr>
    <w:rPr>
      <w:rFonts w:cs="Arial"/>
    </w:rPr>
  </w:style>
  <w:style w:type="paragraph" w:styleId="Heading7">
    <w:name w:val="heading 7"/>
    <w:basedOn w:val="Normal"/>
    <w:next w:val="Normal"/>
    <w:qFormat/>
    <w:rsid w:val="00905625"/>
    <w:pPr>
      <w:keepNext/>
      <w:keepLines/>
      <w:numPr>
        <w:ilvl w:val="6"/>
        <w:numId w:val="1"/>
      </w:numPr>
      <w:spacing w:before="120"/>
      <w:outlineLvl w:val="6"/>
    </w:pPr>
    <w:rPr>
      <w:rFonts w:cs="Arial"/>
    </w:rPr>
  </w:style>
  <w:style w:type="paragraph" w:styleId="Heading8">
    <w:name w:val="heading 8"/>
    <w:basedOn w:val="Heading7"/>
    <w:next w:val="Normal"/>
    <w:qFormat/>
    <w:rsid w:val="00905625"/>
    <w:pPr>
      <w:numPr>
        <w:ilvl w:val="7"/>
      </w:numPr>
      <w:outlineLvl w:val="7"/>
    </w:pPr>
  </w:style>
  <w:style w:type="paragraph" w:styleId="Heading9">
    <w:name w:val="heading 9"/>
    <w:basedOn w:val="Heading8"/>
    <w:next w:val="Normal"/>
    <w:qFormat/>
    <w:rsid w:val="00905625"/>
    <w:pPr>
      <w:numPr>
        <w:ilvl w:val="8"/>
      </w:numPr>
      <w:outlineLvl w:val="8"/>
    </w:pPr>
  </w:style>
  <w:style w:type="character" w:default="1" w:styleId="DefaultParagraphFont">
    <w:name w:val="Default Paragraph Font"/>
    <w:uiPriority w:val="1"/>
    <w:semiHidden/>
    <w:unhideWhenUsed/>
    <w:rsid w:val="001300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002D"/>
  </w:style>
  <w:style w:type="paragraph" w:styleId="TOC8">
    <w:name w:val="toc 8"/>
    <w:basedOn w:val="TOC1"/>
    <w:semiHidden/>
    <w:rsid w:val="00905625"/>
    <w:pPr>
      <w:spacing w:before="180"/>
      <w:ind w:left="2693" w:hanging="2693"/>
    </w:pPr>
    <w:rPr>
      <w:b w:val="0"/>
      <w:bCs/>
    </w:rPr>
  </w:style>
  <w:style w:type="paragraph" w:styleId="TOC1">
    <w:name w:val="toc 1"/>
    <w:aliases w:val="Observation TOC2"/>
    <w:uiPriority w:val="39"/>
    <w:rsid w:val="0090562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905625"/>
    <w:pPr>
      <w:keepNext/>
      <w:keepLines/>
      <w:spacing w:before="180"/>
      <w:jc w:val="center"/>
    </w:pPr>
  </w:style>
  <w:style w:type="paragraph" w:styleId="Caption">
    <w:name w:val="caption"/>
    <w:basedOn w:val="Normal"/>
    <w:next w:val="Normal"/>
    <w:qFormat/>
    <w:rsid w:val="00905625"/>
    <w:pPr>
      <w:spacing w:after="240"/>
      <w:jc w:val="center"/>
    </w:pPr>
    <w:rPr>
      <w:b/>
      <w:bCs/>
    </w:rPr>
  </w:style>
  <w:style w:type="paragraph" w:styleId="TOC5">
    <w:name w:val="toc 5"/>
    <w:aliases w:val="Observation TOC"/>
    <w:basedOn w:val="TOC4"/>
    <w:semiHidden/>
    <w:rsid w:val="00905625"/>
    <w:pPr>
      <w:tabs>
        <w:tab w:val="right" w:pos="1701"/>
      </w:tabs>
      <w:ind w:left="1701" w:hanging="1701"/>
    </w:pPr>
  </w:style>
  <w:style w:type="paragraph" w:styleId="TOC4">
    <w:name w:val="toc 4"/>
    <w:basedOn w:val="TOC3"/>
    <w:semiHidden/>
    <w:rsid w:val="00905625"/>
    <w:pPr>
      <w:ind w:left="1418" w:hanging="1418"/>
    </w:pPr>
  </w:style>
  <w:style w:type="paragraph" w:styleId="TOC3">
    <w:name w:val="toc 3"/>
    <w:basedOn w:val="TOC2"/>
    <w:semiHidden/>
    <w:rsid w:val="00905625"/>
    <w:pPr>
      <w:ind w:left="1134" w:hanging="1134"/>
    </w:pPr>
  </w:style>
  <w:style w:type="paragraph" w:styleId="TOC2">
    <w:name w:val="toc 2"/>
    <w:basedOn w:val="TOC1"/>
    <w:semiHidden/>
    <w:rsid w:val="00905625"/>
    <w:pPr>
      <w:keepNext w:val="0"/>
      <w:spacing w:before="0"/>
      <w:ind w:left="851" w:hanging="851"/>
    </w:pPr>
    <w:rPr>
      <w:szCs w:val="20"/>
    </w:rPr>
  </w:style>
  <w:style w:type="paragraph" w:styleId="Index2">
    <w:name w:val="index 2"/>
    <w:basedOn w:val="Index1"/>
    <w:semiHidden/>
    <w:rsid w:val="00905625"/>
    <w:pPr>
      <w:ind w:left="284"/>
    </w:pPr>
  </w:style>
  <w:style w:type="paragraph" w:styleId="Index1">
    <w:name w:val="index 1"/>
    <w:basedOn w:val="Normal"/>
    <w:semiHidden/>
    <w:rsid w:val="00905625"/>
    <w:pPr>
      <w:keepLines/>
    </w:pPr>
  </w:style>
  <w:style w:type="paragraph" w:styleId="DocumentMap">
    <w:name w:val="Document Map"/>
    <w:basedOn w:val="Normal"/>
    <w:semiHidden/>
    <w:rsid w:val="00905625"/>
    <w:pPr>
      <w:shd w:val="clear" w:color="auto" w:fill="000080"/>
    </w:pPr>
    <w:rPr>
      <w:rFonts w:ascii="Tahoma" w:hAnsi="Tahoma" w:cs="Tahoma"/>
    </w:rPr>
  </w:style>
  <w:style w:type="paragraph" w:styleId="ListNumber2">
    <w:name w:val="List Number 2"/>
    <w:basedOn w:val="ListNumber"/>
    <w:rsid w:val="00905625"/>
    <w:pPr>
      <w:ind w:left="851"/>
    </w:pPr>
  </w:style>
  <w:style w:type="paragraph" w:styleId="ListNumber">
    <w:name w:val="List Number"/>
    <w:basedOn w:val="List"/>
    <w:rsid w:val="00905625"/>
  </w:style>
  <w:style w:type="paragraph" w:styleId="List">
    <w:name w:val="List"/>
    <w:basedOn w:val="Normal"/>
    <w:rsid w:val="00905625"/>
    <w:pPr>
      <w:ind w:left="568" w:hanging="284"/>
    </w:pPr>
  </w:style>
  <w:style w:type="paragraph" w:styleId="Header">
    <w:name w:val="header"/>
    <w:rsid w:val="0090562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05625"/>
    <w:rPr>
      <w:b/>
      <w:bCs/>
      <w:position w:val="6"/>
      <w:sz w:val="16"/>
      <w:szCs w:val="16"/>
    </w:rPr>
  </w:style>
  <w:style w:type="paragraph" w:styleId="FootnoteText">
    <w:name w:val="footnote text"/>
    <w:basedOn w:val="Normal"/>
    <w:semiHidden/>
    <w:rsid w:val="00905625"/>
    <w:pPr>
      <w:keepLines/>
      <w:ind w:left="454" w:hanging="454"/>
    </w:pPr>
    <w:rPr>
      <w:sz w:val="16"/>
      <w:szCs w:val="16"/>
    </w:rPr>
  </w:style>
  <w:style w:type="paragraph" w:customStyle="1" w:styleId="3GPPHeader">
    <w:name w:val="3GPP_Header"/>
    <w:basedOn w:val="Normal"/>
    <w:qFormat/>
    <w:rsid w:val="00905625"/>
    <w:pPr>
      <w:tabs>
        <w:tab w:val="left" w:pos="1800"/>
        <w:tab w:val="right" w:pos="9360"/>
      </w:tabs>
    </w:pPr>
    <w:rPr>
      <w:rFonts w:ascii="Arial" w:hAnsi="Arial"/>
      <w:b/>
    </w:rPr>
  </w:style>
  <w:style w:type="paragraph" w:styleId="TOC9">
    <w:name w:val="toc 9"/>
    <w:basedOn w:val="TOC8"/>
    <w:semiHidden/>
    <w:rsid w:val="00905625"/>
    <w:pPr>
      <w:ind w:left="1418" w:hanging="1418"/>
    </w:pPr>
  </w:style>
  <w:style w:type="paragraph" w:styleId="TOC6">
    <w:name w:val="toc 6"/>
    <w:basedOn w:val="TOC5"/>
    <w:next w:val="Normal"/>
    <w:semiHidden/>
    <w:rsid w:val="00905625"/>
    <w:pPr>
      <w:ind w:left="1985" w:hanging="1985"/>
    </w:pPr>
  </w:style>
  <w:style w:type="paragraph" w:styleId="TOC7">
    <w:name w:val="toc 7"/>
    <w:basedOn w:val="TOC6"/>
    <w:next w:val="Normal"/>
    <w:semiHidden/>
    <w:rsid w:val="00905625"/>
    <w:pPr>
      <w:ind w:left="2268" w:hanging="2268"/>
    </w:pPr>
  </w:style>
  <w:style w:type="paragraph" w:styleId="ListBullet2">
    <w:name w:val="List Bullet 2"/>
    <w:basedOn w:val="ListBullet"/>
    <w:rsid w:val="00905625"/>
    <w:pPr>
      <w:numPr>
        <w:numId w:val="6"/>
      </w:numPr>
    </w:pPr>
  </w:style>
  <w:style w:type="paragraph" w:styleId="ListBullet">
    <w:name w:val="List Bullet"/>
    <w:basedOn w:val="BodyText"/>
    <w:rsid w:val="00905625"/>
    <w:pPr>
      <w:numPr>
        <w:numId w:val="5"/>
      </w:numPr>
    </w:pPr>
  </w:style>
  <w:style w:type="paragraph" w:styleId="ListBullet3">
    <w:name w:val="List Bullet 3"/>
    <w:basedOn w:val="ListBullet2"/>
    <w:rsid w:val="00905625"/>
    <w:pPr>
      <w:numPr>
        <w:numId w:val="7"/>
      </w:numPr>
    </w:pPr>
  </w:style>
  <w:style w:type="paragraph" w:customStyle="1" w:styleId="EQ">
    <w:name w:val="EQ"/>
    <w:basedOn w:val="Normal"/>
    <w:next w:val="Normal"/>
    <w:rsid w:val="00905625"/>
    <w:pPr>
      <w:keepLines/>
      <w:tabs>
        <w:tab w:val="center" w:pos="4536"/>
        <w:tab w:val="right" w:pos="9072"/>
      </w:tabs>
      <w:spacing w:after="180"/>
    </w:pPr>
    <w:rPr>
      <w:noProof/>
    </w:rPr>
  </w:style>
  <w:style w:type="paragraph" w:styleId="List2">
    <w:name w:val="List 2"/>
    <w:basedOn w:val="List"/>
    <w:rsid w:val="00905625"/>
    <w:pPr>
      <w:ind w:left="851"/>
    </w:pPr>
  </w:style>
  <w:style w:type="paragraph" w:styleId="List3">
    <w:name w:val="List 3"/>
    <w:basedOn w:val="List2"/>
    <w:rsid w:val="00905625"/>
    <w:pPr>
      <w:ind w:left="1135"/>
    </w:pPr>
  </w:style>
  <w:style w:type="paragraph" w:styleId="List4">
    <w:name w:val="List 4"/>
    <w:basedOn w:val="List3"/>
    <w:rsid w:val="00905625"/>
    <w:pPr>
      <w:ind w:left="1418"/>
    </w:pPr>
  </w:style>
  <w:style w:type="paragraph" w:styleId="List5">
    <w:name w:val="List 5"/>
    <w:basedOn w:val="List4"/>
    <w:rsid w:val="00905625"/>
    <w:pPr>
      <w:ind w:left="1702"/>
    </w:pPr>
  </w:style>
  <w:style w:type="paragraph" w:customStyle="1" w:styleId="EditorsNote">
    <w:name w:val="Editor's Note"/>
    <w:basedOn w:val="Normal"/>
    <w:rsid w:val="00905625"/>
    <w:pPr>
      <w:keepLines/>
      <w:spacing w:after="180"/>
      <w:ind w:left="1135" w:hanging="851"/>
    </w:pPr>
    <w:rPr>
      <w:color w:val="FF0000"/>
    </w:rPr>
  </w:style>
  <w:style w:type="paragraph" w:styleId="ListBullet4">
    <w:name w:val="List Bullet 4"/>
    <w:basedOn w:val="ListBullet3"/>
    <w:rsid w:val="00905625"/>
    <w:pPr>
      <w:numPr>
        <w:numId w:val="8"/>
      </w:numPr>
    </w:pPr>
  </w:style>
  <w:style w:type="paragraph" w:styleId="ListBullet5">
    <w:name w:val="List Bullet 5"/>
    <w:basedOn w:val="ListBullet4"/>
    <w:rsid w:val="00905625"/>
    <w:pPr>
      <w:numPr>
        <w:numId w:val="4"/>
      </w:numPr>
    </w:pPr>
  </w:style>
  <w:style w:type="paragraph" w:styleId="Footer">
    <w:name w:val="footer"/>
    <w:basedOn w:val="Header"/>
    <w:semiHidden/>
    <w:rsid w:val="00905625"/>
    <w:pPr>
      <w:jc w:val="center"/>
    </w:pPr>
    <w:rPr>
      <w:i/>
      <w:iCs/>
    </w:rPr>
  </w:style>
  <w:style w:type="paragraph" w:customStyle="1" w:styleId="Reference">
    <w:name w:val="Reference"/>
    <w:basedOn w:val="Normal"/>
    <w:qFormat/>
    <w:rsid w:val="00905625"/>
    <w:pPr>
      <w:numPr>
        <w:numId w:val="2"/>
      </w:numPr>
    </w:pPr>
  </w:style>
  <w:style w:type="paragraph" w:styleId="BalloonText">
    <w:name w:val="Balloon Text"/>
    <w:basedOn w:val="Normal"/>
    <w:semiHidden/>
    <w:rsid w:val="00905625"/>
    <w:rPr>
      <w:rFonts w:ascii="Tahoma" w:hAnsi="Tahoma" w:cs="Tahoma"/>
      <w:sz w:val="16"/>
      <w:szCs w:val="16"/>
    </w:rPr>
  </w:style>
  <w:style w:type="character" w:styleId="PageNumber">
    <w:name w:val="page number"/>
    <w:basedOn w:val="DefaultParagraphFont"/>
    <w:semiHidden/>
    <w:rsid w:val="00905625"/>
  </w:style>
  <w:style w:type="paragraph" w:styleId="BodyText">
    <w:name w:val="Body Text"/>
    <w:basedOn w:val="Normal"/>
    <w:link w:val="BodyTextChar"/>
    <w:qFormat/>
    <w:rsid w:val="00905625"/>
  </w:style>
  <w:style w:type="character" w:styleId="Hyperlink">
    <w:name w:val="Hyperlink"/>
    <w:uiPriority w:val="99"/>
    <w:rsid w:val="00905625"/>
    <w:rPr>
      <w:color w:val="0000FF"/>
      <w:u w:val="single"/>
      <w:lang w:val="en-GB"/>
    </w:rPr>
  </w:style>
  <w:style w:type="character" w:styleId="FollowedHyperlink">
    <w:name w:val="FollowedHyperlink"/>
    <w:semiHidden/>
    <w:rsid w:val="00905625"/>
    <w:rPr>
      <w:color w:val="FF0000"/>
      <w:u w:val="single"/>
    </w:rPr>
  </w:style>
  <w:style w:type="character" w:styleId="CommentReference">
    <w:name w:val="annotation reference"/>
    <w:semiHidden/>
    <w:rsid w:val="00905625"/>
    <w:rPr>
      <w:sz w:val="16"/>
      <w:szCs w:val="16"/>
    </w:rPr>
  </w:style>
  <w:style w:type="paragraph" w:styleId="CommentText">
    <w:name w:val="annotation text"/>
    <w:basedOn w:val="Normal"/>
    <w:link w:val="CommentTextChar"/>
    <w:semiHidden/>
    <w:rsid w:val="00905625"/>
  </w:style>
  <w:style w:type="paragraph" w:styleId="CommentSubject">
    <w:name w:val="annotation subject"/>
    <w:basedOn w:val="CommentText"/>
    <w:next w:val="CommentText"/>
    <w:semiHidden/>
    <w:rsid w:val="00905625"/>
    <w:rPr>
      <w:b/>
      <w:bCs/>
    </w:rPr>
  </w:style>
  <w:style w:type="character" w:customStyle="1" w:styleId="Heading1Char">
    <w:name w:val="Heading 1 Char"/>
    <w:link w:val="Heading1"/>
    <w:rsid w:val="00905625"/>
    <w:rPr>
      <w:rFonts w:ascii="Arial" w:hAnsi="Arial" w:cs="Arial"/>
      <w:sz w:val="32"/>
      <w:szCs w:val="36"/>
      <w:lang w:val="en-GB" w:eastAsia="zh-CN"/>
    </w:rPr>
  </w:style>
  <w:style w:type="paragraph" w:customStyle="1" w:styleId="B1">
    <w:name w:val="B1"/>
    <w:basedOn w:val="List"/>
    <w:rsid w:val="00905625"/>
    <w:pPr>
      <w:spacing w:after="180"/>
    </w:pPr>
  </w:style>
  <w:style w:type="paragraph" w:customStyle="1" w:styleId="B2">
    <w:name w:val="B2"/>
    <w:basedOn w:val="List2"/>
    <w:rsid w:val="00905625"/>
    <w:pPr>
      <w:spacing w:after="180"/>
    </w:pPr>
  </w:style>
  <w:style w:type="paragraph" w:customStyle="1" w:styleId="B3">
    <w:name w:val="B3"/>
    <w:basedOn w:val="List3"/>
    <w:rsid w:val="00905625"/>
    <w:pPr>
      <w:spacing w:after="180"/>
    </w:pPr>
  </w:style>
  <w:style w:type="paragraph" w:customStyle="1" w:styleId="B4">
    <w:name w:val="B4"/>
    <w:basedOn w:val="List4"/>
    <w:rsid w:val="00905625"/>
    <w:pPr>
      <w:spacing w:after="180"/>
    </w:pPr>
  </w:style>
  <w:style w:type="paragraph" w:customStyle="1" w:styleId="Proposal">
    <w:name w:val="Proposal"/>
    <w:basedOn w:val="Normal"/>
    <w:qFormat/>
    <w:rsid w:val="00905625"/>
    <w:pPr>
      <w:numPr>
        <w:numId w:val="3"/>
      </w:numPr>
      <w:tabs>
        <w:tab w:val="clear" w:pos="1304"/>
        <w:tab w:val="left" w:pos="1701"/>
      </w:tabs>
      <w:ind w:left="1701" w:hanging="1701"/>
    </w:pPr>
    <w:rPr>
      <w:b/>
      <w:bCs/>
    </w:rPr>
  </w:style>
  <w:style w:type="character" w:customStyle="1" w:styleId="BodyTextChar">
    <w:name w:val="Body Text Char"/>
    <w:link w:val="BodyText"/>
    <w:rsid w:val="00905625"/>
    <w:rPr>
      <w:rFonts w:ascii="Times New Roman" w:hAnsi="Times New Roman"/>
      <w:lang w:val="en-GB" w:eastAsia="zh-CN"/>
    </w:rPr>
  </w:style>
  <w:style w:type="paragraph" w:customStyle="1" w:styleId="B5">
    <w:name w:val="B5"/>
    <w:basedOn w:val="List5"/>
    <w:rsid w:val="00905625"/>
    <w:pPr>
      <w:spacing w:after="180"/>
    </w:pPr>
  </w:style>
  <w:style w:type="paragraph" w:customStyle="1" w:styleId="EX">
    <w:name w:val="EX"/>
    <w:basedOn w:val="Normal"/>
    <w:rsid w:val="00905625"/>
    <w:pPr>
      <w:keepLines/>
      <w:spacing w:after="180"/>
      <w:ind w:left="1702" w:hanging="1418"/>
    </w:pPr>
  </w:style>
  <w:style w:type="paragraph" w:customStyle="1" w:styleId="EW">
    <w:name w:val="EW"/>
    <w:basedOn w:val="EX"/>
    <w:rsid w:val="00905625"/>
    <w:pPr>
      <w:spacing w:after="0"/>
    </w:pPr>
  </w:style>
  <w:style w:type="paragraph" w:customStyle="1" w:styleId="TAL">
    <w:name w:val="TAL"/>
    <w:basedOn w:val="Normal"/>
    <w:rsid w:val="00905625"/>
    <w:pPr>
      <w:keepNext/>
      <w:keepLines/>
    </w:pPr>
    <w:rPr>
      <w:sz w:val="18"/>
    </w:rPr>
  </w:style>
  <w:style w:type="paragraph" w:customStyle="1" w:styleId="TAC">
    <w:name w:val="TAC"/>
    <w:basedOn w:val="TAL"/>
    <w:rsid w:val="00905625"/>
    <w:pPr>
      <w:jc w:val="center"/>
    </w:pPr>
  </w:style>
  <w:style w:type="paragraph" w:customStyle="1" w:styleId="TAH">
    <w:name w:val="TAH"/>
    <w:basedOn w:val="TAC"/>
    <w:rsid w:val="00905625"/>
    <w:rPr>
      <w:b/>
    </w:rPr>
  </w:style>
  <w:style w:type="paragraph" w:customStyle="1" w:styleId="TAN">
    <w:name w:val="TAN"/>
    <w:basedOn w:val="TAL"/>
    <w:rsid w:val="00905625"/>
    <w:pPr>
      <w:ind w:left="851" w:hanging="851"/>
    </w:pPr>
  </w:style>
  <w:style w:type="paragraph" w:customStyle="1" w:styleId="TAR">
    <w:name w:val="TAR"/>
    <w:basedOn w:val="TAL"/>
    <w:rsid w:val="00905625"/>
    <w:pPr>
      <w:jc w:val="right"/>
    </w:pPr>
  </w:style>
  <w:style w:type="paragraph" w:customStyle="1" w:styleId="TH">
    <w:name w:val="TH"/>
    <w:basedOn w:val="Normal"/>
    <w:rsid w:val="00905625"/>
    <w:pPr>
      <w:keepNext/>
      <w:keepLines/>
      <w:spacing w:before="60" w:after="180"/>
      <w:jc w:val="center"/>
    </w:pPr>
    <w:rPr>
      <w:b/>
    </w:rPr>
  </w:style>
  <w:style w:type="paragraph" w:customStyle="1" w:styleId="TF">
    <w:name w:val="TF"/>
    <w:basedOn w:val="TH"/>
    <w:rsid w:val="00905625"/>
    <w:pPr>
      <w:keepNext w:val="0"/>
      <w:spacing w:before="0" w:after="240"/>
    </w:pPr>
  </w:style>
  <w:style w:type="paragraph" w:customStyle="1" w:styleId="TT">
    <w:name w:val="TT"/>
    <w:basedOn w:val="Heading1"/>
    <w:next w:val="Normal"/>
    <w:rsid w:val="00905625"/>
    <w:pPr>
      <w:numPr>
        <w:numId w:val="0"/>
      </w:numPr>
      <w:ind w:left="1134" w:hanging="1134"/>
      <w:outlineLvl w:val="9"/>
    </w:pPr>
    <w:rPr>
      <w:rFonts w:cs="Times New Roman"/>
      <w:szCs w:val="20"/>
      <w:lang w:eastAsia="en-US"/>
    </w:rPr>
  </w:style>
  <w:style w:type="paragraph" w:customStyle="1" w:styleId="ZA">
    <w:name w:val="ZA"/>
    <w:rsid w:val="009056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056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056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056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05625"/>
  </w:style>
  <w:style w:type="paragraph" w:customStyle="1" w:styleId="ZH">
    <w:name w:val="ZH"/>
    <w:rsid w:val="009056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056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05625"/>
    <w:pPr>
      <w:framePr w:hRule="auto" w:wrap="notBeside" w:y="852"/>
    </w:pPr>
    <w:rPr>
      <w:i w:val="0"/>
      <w:sz w:val="40"/>
    </w:rPr>
  </w:style>
  <w:style w:type="paragraph" w:customStyle="1" w:styleId="ZU">
    <w:name w:val="ZU"/>
    <w:rsid w:val="009056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05625"/>
    <w:pPr>
      <w:framePr w:wrap="notBeside" w:y="16161"/>
    </w:pPr>
  </w:style>
  <w:style w:type="paragraph" w:customStyle="1" w:styleId="FP">
    <w:name w:val="FP"/>
    <w:basedOn w:val="Normal"/>
    <w:rsid w:val="00905625"/>
  </w:style>
  <w:style w:type="paragraph" w:customStyle="1" w:styleId="Observation">
    <w:name w:val="Observation"/>
    <w:basedOn w:val="Proposal"/>
    <w:qFormat/>
    <w:rsid w:val="00905625"/>
    <w:pPr>
      <w:numPr>
        <w:numId w:val="13"/>
      </w:numPr>
      <w:ind w:left="1701" w:hanging="1701"/>
    </w:pPr>
  </w:style>
  <w:style w:type="paragraph" w:styleId="TableofFigures">
    <w:name w:val="table of figures"/>
    <w:basedOn w:val="Normal"/>
    <w:next w:val="Normal"/>
    <w:uiPriority w:val="99"/>
    <w:rsid w:val="00905625"/>
    <w:pPr>
      <w:ind w:left="1418" w:hanging="1418"/>
    </w:pPr>
    <w:rPr>
      <w:b/>
    </w:rPr>
  </w:style>
  <w:style w:type="paragraph" w:styleId="Index4">
    <w:name w:val="index 4"/>
    <w:basedOn w:val="Normal"/>
    <w:next w:val="Normal"/>
    <w:autoRedefine/>
    <w:rsid w:val="00905625"/>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IvDbodytext">
    <w:name w:val="IvD bodytext"/>
    <w:basedOn w:val="BodyText"/>
    <w:link w:val="IvDbodytextChar"/>
    <w:qFormat/>
    <w:rsid w:val="001A70FD"/>
    <w:pPr>
      <w:keepLines/>
      <w:tabs>
        <w:tab w:val="left" w:pos="2552"/>
        <w:tab w:val="left" w:pos="3856"/>
        <w:tab w:val="left" w:pos="5216"/>
        <w:tab w:val="left" w:pos="6464"/>
        <w:tab w:val="left" w:pos="7768"/>
        <w:tab w:val="left" w:pos="9072"/>
        <w:tab w:val="left" w:pos="9639"/>
      </w:tabs>
      <w:spacing w:before="240"/>
    </w:pPr>
    <w:rPr>
      <w:rFonts w:ascii="Arial" w:hAnsi="Arial"/>
      <w:spacing w:val="2"/>
      <w:sz w:val="22"/>
    </w:rPr>
  </w:style>
  <w:style w:type="character" w:customStyle="1" w:styleId="IvDbodytextChar">
    <w:name w:val="IvD bodytext Char"/>
    <w:link w:val="IvDbodytext"/>
    <w:rsid w:val="001A70FD"/>
    <w:rPr>
      <w:rFonts w:ascii="Arial" w:hAnsi="Arial"/>
      <w:spacing w:val="2"/>
      <w:sz w:val="22"/>
    </w:rPr>
  </w:style>
  <w:style w:type="character" w:customStyle="1" w:styleId="CommentTextChar">
    <w:name w:val="Comment Text Char"/>
    <w:basedOn w:val="DefaultParagraphFont"/>
    <w:link w:val="CommentText"/>
    <w:semiHidden/>
    <w:rsid w:val="00B63E8A"/>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249221">
      <w:bodyDiv w:val="1"/>
      <w:marLeft w:val="0"/>
      <w:marRight w:val="0"/>
      <w:marTop w:val="0"/>
      <w:marBottom w:val="0"/>
      <w:divBdr>
        <w:top w:val="none" w:sz="0" w:space="0" w:color="auto"/>
        <w:left w:val="none" w:sz="0" w:space="0" w:color="auto"/>
        <w:bottom w:val="none" w:sz="0" w:space="0" w:color="auto"/>
        <w:right w:val="none" w:sz="0" w:space="0" w:color="auto"/>
      </w:divBdr>
    </w:div>
    <w:div w:id="164862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27014-5396-4DC2-ABC1-40DA9BE5D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1736</Words>
  <Characters>9899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2018-04-06T18:03:00Z</dcterms:created>
  <dcterms:modified xsi:type="dcterms:W3CDTF">2018-04-06T18:03:00Z</dcterms:modified>
</cp:coreProperties>
</file>